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D2-7_架构决策记录ADR集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存放本项目所有 ADR（Architecture Decision Records），编号从 0001 起递增，已废弃的 ADR 通过 Status: Superseded by 0XXX 标记。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编号约定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0001  确立 ADR 制度（必备）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0002 起按时间顺序编号；不重排已有编号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MADR 模板字段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Title  : ADR 标题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Status : Proposed / Accepted / Deprecated / Superseded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Context: 背景、问题、约束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Decision: 决策结论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Consequences: 正/负/中性影响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Alternatives Considered: 替代方案与放弃理由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References: 参考资料 / 相关 ADR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C98B21"/>
                <w:sz w:val="21"/>
              </w:rPr>
              <w:t xml:space="preserve">📌 写作要点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一份好的 ADR 不超过 1 页 A4。读者只需看 Status 和 Decision 两节就能知道"现在该怎么做"。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图2-5 ADR 与架构决策闭环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