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需求验证报告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D1-6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需求验证报告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实验一  智能化需求工程与 UML 建模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2026-05-13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对 D1-3 SRS 进行验证：检查需求是否完整、一致、可验证、可追溯。本报告输出 缺陷列表 与 处置追踪，并据此决定是否冻结基线。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验证范围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验证范围覆盖 D1-3 SRS 的第 1-5 章、D1-2 中 FR-001 至 FR-034 的功能需求、NFR-001 至 NFR-012 的非功能需求，以及 D1-4 UML 模型集中的用例图、活动图、类图、顺序图和状态图。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验证方法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检查清单（Checklist）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检查清单：</w:t>
            </w:r>
          </w:p>
          <w:p>
            <w:r>
              <w:t>1. 每条需求是否有唯一 ID；</w:t>
            </w:r>
          </w:p>
          <w:p>
            <w:r>
              <w:t>2. 需求是否能追溯到访谈或课程案例背景；</w:t>
            </w:r>
          </w:p>
          <w:p>
            <w:r>
              <w:t>3. 描述是否避免“尽快、友好、智能”等不可测表述；</w:t>
            </w:r>
          </w:p>
          <w:p>
            <w:r>
              <w:t>4. 是否给出 Given-When-Then 验收准则；</w:t>
            </w:r>
          </w:p>
          <w:p>
            <w:r>
              <w:t>5. 是否与 UML 图中的用例、类或状态一致；</w:t>
            </w:r>
          </w:p>
          <w:p>
            <w:r>
              <w:t>6. 非功能需求是否给出指标、目标值和验证方法；</w:t>
            </w:r>
          </w:p>
          <w:p>
            <w:r>
              <w:t>7. 术语是否与 Glossary 一致；</w:t>
            </w:r>
          </w:p>
          <w:p>
            <w:r>
              <w:t>8. 是否存在需求冲突、重复或遗漏；</w:t>
            </w:r>
          </w:p>
          <w:p>
            <w:r>
              <w:t>9. 是否符合个人信息保护和餐饮业务约束；</w:t>
            </w:r>
          </w:p>
          <w:p>
            <w:r>
              <w:t>10. 是否可作为实验二架构设计输入。</w:t>
            </w:r>
          </w:p>
          <w:p>
            <w:pPr>
              <w:spacing w:before="0" w:after="0"/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83480" cy="29589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2958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图1-5 需求验证与追溯闭环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原型评审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原型评审采用低保真文字原型和 UML 走查方式完成。评审对象包括顾客预约路径、店员工作台路径、猫咪健康打卡路径和运营看板路径；评审参与者为戴正宇与 AI 模拟的顾客、店员、运营总监角色。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AI 反向质询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AI 反向质询 Prompt：请扮演挑剔的产品经理和测试负责人，审查 NekoCafé SRS v1.0，至少找出 5 个二义性、冲突、缺失或不可测试问题，并说明对应需求 ID、风险和修复建议。</w:t>
            </w:r>
          </w:p>
          <w:p>
            <w:r>
              <w:t>主要发现：高峰期定义需要量化；AI 推荐边界需要说明不做医疗判断；取消规则需要与支付退款关联；猫咪健康异常需要明确通知对象；运营指标口径需要在术语表中统一。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验证结果显示，SRS 已覆盖课程任务书要求的主要功能、非功能约束和 UML 建模输入，但在指标口径、异常补偿和外部接口错误码方面仍存在少量待细化项。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缺陷列表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缺陷ID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所在需求ID</w:t>
            </w:r>
          </w:p>
        </w:tc>
        <w:tc>
          <w:tcPr>
            <w:tcW w:type="dxa" w:w="311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严重度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624"/>
          </w:tcPr>
          <w:p>
            <w:r>
              <w:t>D-001</w:t>
            </w:r>
          </w:p>
        </w:tc>
        <w:tc>
          <w:tcPr>
            <w:tcW w:type="dxa" w:w="1624"/>
          </w:tcPr>
          <w:p>
            <w:r>
              <w:t>二义性</w:t>
            </w:r>
          </w:p>
        </w:tc>
        <w:tc>
          <w:tcPr>
            <w:tcW w:type="dxa" w:w="1624"/>
          </w:tcPr>
          <w:p>
            <w:r>
              <w:t>NFR-003</w:t>
            </w:r>
          </w:p>
        </w:tc>
        <w:tc>
          <w:tcPr>
            <w:tcW w:type="dxa" w:w="1624"/>
          </w:tcPr>
          <w:p>
            <w:r>
              <w:t>“高峰期”未在初稿中限定具体场景，已修订为节假日午晚餐预约查询和提交链路。</w:t>
            </w:r>
          </w:p>
        </w:tc>
        <w:tc>
          <w:tcPr>
            <w:tcW w:type="dxa" w:w="1624"/>
          </w:tcPr>
          <w:p>
            <w:r>
              <w:t>M</w:t>
            </w:r>
          </w:p>
        </w:tc>
        <w:tc>
          <w:tcPr>
            <w:tcW w:type="dxa" w:w="1624"/>
          </w:tcPr>
          <w:p>
            <w:r>
              <w:t>已修复</w:t>
            </w:r>
          </w:p>
        </w:tc>
      </w:tr>
      <w:tr>
        <w:tc>
          <w:tcPr>
            <w:tcW w:type="dxa" w:w="1624"/>
          </w:tcPr>
          <w:p>
            <w:r>
              <w:t>D-002</w:t>
            </w:r>
          </w:p>
        </w:tc>
        <w:tc>
          <w:tcPr>
            <w:tcW w:type="dxa" w:w="1624"/>
          </w:tcPr>
          <w:p>
            <w:r>
              <w:t>二义性</w:t>
            </w:r>
          </w:p>
        </w:tc>
        <w:tc>
          <w:tcPr>
            <w:tcW w:type="dxa" w:w="1624"/>
          </w:tcPr>
          <w:p>
            <w:r>
              <w:t>FR-005</w:t>
            </w:r>
          </w:p>
        </w:tc>
        <w:tc>
          <w:tcPr>
            <w:tcW w:type="dxa" w:w="1624"/>
          </w:tcPr>
          <w:p>
            <w:r>
              <w:t>AI 推荐可能被误解为医疗或行为诊断，已明确仅用于桌位、猫咪互动和菜品偏好匹配。</w:t>
            </w:r>
          </w:p>
        </w:tc>
        <w:tc>
          <w:tcPr>
            <w:tcW w:type="dxa" w:w="1624"/>
          </w:tcPr>
          <w:p>
            <w:r>
              <w:t>H</w:t>
            </w:r>
          </w:p>
        </w:tc>
        <w:tc>
          <w:tcPr>
            <w:tcW w:type="dxa" w:w="1624"/>
          </w:tcPr>
          <w:p>
            <w:r>
              <w:t>已修复</w:t>
            </w:r>
          </w:p>
        </w:tc>
      </w:tr>
      <w:tr>
        <w:tc>
          <w:tcPr>
            <w:tcW w:type="dxa" w:w="1624"/>
          </w:tcPr>
          <w:p>
            <w:r>
              <w:t>D-003</w:t>
            </w:r>
          </w:p>
        </w:tc>
        <w:tc>
          <w:tcPr>
            <w:tcW w:type="dxa" w:w="1624"/>
          </w:tcPr>
          <w:p>
            <w:r>
              <w:t>冲突</w:t>
            </w:r>
          </w:p>
        </w:tc>
        <w:tc>
          <w:tcPr>
            <w:tcW w:type="dxa" w:w="1624"/>
          </w:tcPr>
          <w:p>
            <w:r>
              <w:t>FR-007 / FR-012</w:t>
            </w:r>
          </w:p>
        </w:tc>
        <w:tc>
          <w:tcPr>
            <w:tcW w:type="dxa" w:w="1624"/>
          </w:tcPr>
          <w:p>
            <w:r>
              <w:t>取消预约与已支付订单的退款状态存在耦合，已在 SRS 中要求支付状态回传和退款协同。</w:t>
            </w:r>
          </w:p>
        </w:tc>
        <w:tc>
          <w:tcPr>
            <w:tcW w:type="dxa" w:w="1624"/>
          </w:tcPr>
          <w:p>
            <w:r>
              <w:t>H</w:t>
            </w:r>
          </w:p>
        </w:tc>
        <w:tc>
          <w:tcPr>
            <w:tcW w:type="dxa" w:w="1624"/>
          </w:tcPr>
          <w:p>
            <w:r>
              <w:t>已修复</w:t>
            </w:r>
          </w:p>
        </w:tc>
      </w:tr>
      <w:tr>
        <w:tc>
          <w:tcPr>
            <w:tcW w:type="dxa" w:w="1624"/>
          </w:tcPr>
          <w:p>
            <w:r>
              <w:t>D-004</w:t>
            </w:r>
          </w:p>
        </w:tc>
        <w:tc>
          <w:tcPr>
            <w:tcW w:type="dxa" w:w="1624"/>
          </w:tcPr>
          <w:p>
            <w:r>
              <w:t>缺失</w:t>
            </w:r>
          </w:p>
        </w:tc>
        <w:tc>
          <w:tcPr>
            <w:tcW w:type="dxa" w:w="1624"/>
          </w:tcPr>
          <w:p>
            <w:r>
              <w:t>FR-021</w:t>
            </w:r>
          </w:p>
        </w:tc>
        <w:tc>
          <w:tcPr>
            <w:tcW w:type="dxa" w:w="1624"/>
          </w:tcPr>
          <w:p>
            <w:r>
              <w:t>猫咪健康异常后的通知对象不完整，已补充店员、猫咪管家和店长告警路径。</w:t>
            </w:r>
          </w:p>
        </w:tc>
        <w:tc>
          <w:tcPr>
            <w:tcW w:type="dxa" w:w="1624"/>
          </w:tcPr>
          <w:p>
            <w:r>
              <w:t>M</w:t>
            </w:r>
          </w:p>
        </w:tc>
        <w:tc>
          <w:tcPr>
            <w:tcW w:type="dxa" w:w="1624"/>
          </w:tcPr>
          <w:p>
            <w:r>
              <w:t>已修复</w:t>
            </w:r>
          </w:p>
        </w:tc>
      </w:tr>
      <w:tr>
        <w:tc>
          <w:tcPr>
            <w:tcW w:type="dxa" w:w="1624"/>
          </w:tcPr>
          <w:p>
            <w:r>
              <w:t>D-005</w:t>
            </w:r>
          </w:p>
        </w:tc>
        <w:tc>
          <w:tcPr>
            <w:tcW w:type="dxa" w:w="1624"/>
          </w:tcPr>
          <w:p>
            <w:r>
              <w:t>缺失</w:t>
            </w:r>
          </w:p>
        </w:tc>
        <w:tc>
          <w:tcPr>
            <w:tcW w:type="dxa" w:w="1624"/>
          </w:tcPr>
          <w:p>
            <w:r>
              <w:t>FR-023 / FR-026</w:t>
            </w:r>
          </w:p>
        </w:tc>
        <w:tc>
          <w:tcPr>
            <w:tcW w:type="dxa" w:w="1624"/>
          </w:tcPr>
          <w:p>
            <w:r>
              <w:t>翻台率、坪效、复购率口径初稿不足，已在术语表和运营看板需求中统一。</w:t>
            </w:r>
          </w:p>
        </w:tc>
        <w:tc>
          <w:tcPr>
            <w:tcW w:type="dxa" w:w="1624"/>
          </w:tcPr>
          <w:p>
            <w:r>
              <w:t>M</w:t>
            </w:r>
          </w:p>
        </w:tc>
        <w:tc>
          <w:tcPr>
            <w:tcW w:type="dxa" w:w="1624"/>
          </w:tcPr>
          <w:p>
            <w:r>
              <w:t>已修复</w:t>
            </w:r>
          </w:p>
        </w:tc>
      </w:tr>
      <w:tr>
        <w:tc>
          <w:tcPr>
            <w:tcW w:type="dxa" w:w="1624"/>
          </w:tcPr>
          <w:p>
            <w:r>
              <w:t>D-006</w:t>
            </w:r>
          </w:p>
        </w:tc>
        <w:tc>
          <w:tcPr>
            <w:tcW w:type="dxa" w:w="1624"/>
          </w:tcPr>
          <w:p>
            <w:r>
              <w:t>可测试性</w:t>
            </w:r>
          </w:p>
        </w:tc>
        <w:tc>
          <w:tcPr>
            <w:tcW w:type="dxa" w:w="1624"/>
          </w:tcPr>
          <w:p>
            <w:r>
              <w:t>NFR-007</w:t>
            </w:r>
          </w:p>
        </w:tc>
        <w:tc>
          <w:tcPr>
            <w:tcW w:type="dxa" w:w="1624"/>
          </w:tcPr>
          <w:p>
            <w:r>
              <w:t>“操作便捷”不可测，已修订为普通顾客 3 分钟内完成预约。</w:t>
            </w:r>
          </w:p>
        </w:tc>
        <w:tc>
          <w:tcPr>
            <w:tcW w:type="dxa" w:w="1624"/>
          </w:tcPr>
          <w:p>
            <w:r>
              <w:t>M</w:t>
            </w:r>
          </w:p>
        </w:tc>
        <w:tc>
          <w:tcPr>
            <w:tcW w:type="dxa" w:w="1624"/>
          </w:tcPr>
          <w:p>
            <w:r>
              <w:t>已修复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二义性问题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二义性问题主要来自业务术语和智能推荐边界。处置方式是将模糊词替换为指标或业务定义，例如将“高峰期”绑定到节假日午晚餐场景，将“智能推荐”限定为偏好匹配和规则推荐。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冲突问题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冲突问题集中在预约生命周期与订单支付生命周期的联动。处置方式是在顺序图和 SRS 中明确预约、订单、支付三个对象的状态同步规则，并要求所有退款和取消操作写入审计日志。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3.3  缺失问题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缺失项包括猫咪健康异常通知、运营指标口径、外部接口错误码和新门店配置边界。已将前三项纳入 v1.0，外部支付服务商的完整错误码映射保留为 TBD。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所有缺陷均已登记到缺陷列表，并通过修改 SRS、需求清单、术语表和 UML 说明完成闭环。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缺陷处置追踪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处置追踪：</w:t>
            </w:r>
          </w:p>
          <w:p>
            <w:r>
              <w:t>D-001、D-002：负责人戴正宇，修复位置 D1-3 第 3.2/3.3 节，关闭日期 2026-05-13。</w:t>
            </w:r>
          </w:p>
          <w:p>
            <w:r>
              <w:t>D-003：负责人戴正宇，修复位置 D1-3 第 3.2 节与订单状态机，关闭日期 2026-05-13。</w:t>
            </w:r>
          </w:p>
          <w:p>
            <w:r>
              <w:t>D-004：负责人戴正宇，修复位置 D1-4 活动图与 FR-021，关闭日期 2026-05-13。</w:t>
            </w:r>
          </w:p>
          <w:p>
            <w:r>
              <w:t>D-005：负责人戴正宇，修复位置 D1-5 Glossary 与 RTM，关闭日期 2026-05-13。</w:t>
            </w:r>
          </w:p>
          <w:p>
            <w:r>
              <w:t>D-006：负责人戴正宇，修复位置 D1-2 非功能需求，关闭日期 2026-05-13。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结论与基线建议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结论：D1-3 SRS 可冻结为 requirements-v1.0 基线，并可作为实验二软件架构设计与微服务拆分的输入。遗留 TBD 包括 AI 推荐算法细化、第三方支付错误码映射、各门店营业规则配置和猫咪健康异常阈值确认。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