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Institución: Centro de Justicia para las Mujeres: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Se enfoca en Otorgar servicios interdisciplinarios, integrales y especializados a mujeres víctimas de violencia de género, y en su caso a sus hijas e hijos menores de edad,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Dirección:Av. San Carlos 118,Hidalgo, Pachuca de Soto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Teléfonos:(771) 249 2400 ext. 1001-1002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Institución:Agencia del Ministerio Público Especializada en Delitos Sexuales y Violencia Intrafamiliar: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Dirección :Héroes de Chapultepec 15, Hidalgo, Tula de Allende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Teléfonos:(773) 732 6708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 enfoca en la atención y resolución de casos relacionados con delitos sexuales y violencia intrafamiliar. Los principales servicios que ofrece incluyen:  Intervención en casos de delitos sexuales : Atención y procesamiento de denuncias relacionadas con agresiones sexuales, abuso sexual, acoso, violación, entre otros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Institución :Agencia del Ministerio Público Especializada en Delitos Sexuales, Coordinación de Atención a Víctimas: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Dirección: Av. Lázaro Cárdenas 200, Hidalgo, Tulancingo de Bravo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Teléfonos:(775) 755 2686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 enfoca en ofrecer los  servicios relacionados con delitos sexuales y apoyo a las víctimas:  Recepción de denuncias por delitos sexuales: Atienden casos de agresiones sexuales, abuso sexual, violación, Acoso y otros delitos de naturaleza sexual. Se permite a las víctimas presentar su denuncia formal.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Institución:  Asesoría jurídica y legal gratuita (CEAVIF):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Dirección: Calle. Nezahualcoyotl #602 S/N Col. Guadalupe, Tulancingo Hgo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Asesoría jurídica gratuita: Proporcionan orientación legal a las personas víctimas de delitos, ayudándoles a entender sus derechos y los procedimientos legales a seguir. Esta asesoría es fundamental para personas que no cuentan con los recursos para contratar un abogado.Representación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Institución : CEAVIF - Tulancingo De Bravo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Dirección: Calle Nezahualcóyotl, No. Exterior: 602, No. Interior: S/N, Colonia Guadalupe, 43650 Tulancingo De Bravo, Tulancingo De Bravo, Hidalgo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Los principales servicios que ofrece esta institución son: Asesoría Jurídica Gratuita , Brindar orientación legal a las víctimas de violencia intrafamiliar, abuso sexual y otros delitos relacionados. Este servicio incluye el acompañamiento en la presentación de denuncias y el seguimiento legal de los casos.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Teléfonos: (775) 7425172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Correo electrónico: ceavif@tulancingo.gob.mx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 Institución :  Denuncia anónima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Teléfonos: 089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enfoca en realizar denuncias anónimas de los siguientes tipos: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Violencia familiar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Violencia de género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Violencia escolar : Acoso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Violencia en el trabajo 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Violencia sexual : Abuso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Violencia Institucional : D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Violencia en el Espacio Público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Delitos Relacionados con el Crimen Organizado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