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5B6573"/>
          <w:sz w:val="16"/>
          <w:szCs w:val="16"/>
        </w:rPr>
        <w:t xml:space="preserve">FORMATION AGENT IA · PROJET DE FIN DE FORMATION · CAHIER DES CHARGES</w:t>
      </w:r>
    </w:p>
    <w:p>
      <w:pPr>
        <w:spacing w:after="20"/>
      </w:pPr>
      <w:r>
        <w:rPr>
          <w:b/>
          <w:bCs/>
          <w:color w:val="1F3A5F"/>
          <w:sz w:val="36"/>
          <w:szCs w:val="36"/>
        </w:rPr>
        <w:t xml:space="preserve">Assistant IA « Catalogue &amp; Fournisseurs »</w:t>
      </w:r>
    </w:p>
    <w:p>
      <w:pPr>
        <w:pBdr>
          <w:bottom w:val="single" w:color="1F3A5F" w:sz="6" w:space="4"/>
        </w:pBdr>
        <w:spacing w:after="100"/>
      </w:pPr>
      <w:r>
        <w:rPr>
          <w:color w:val="5B6573"/>
          <w:sz w:val="21"/>
          <w:szCs w:val="21"/>
        </w:rPr>
        <w:t xml:space="preserve">Semantic Kernel · MySQL · RAG · Interface de chat · Intégration continue GitHub</w:t>
      </w:r>
    </w:p>
    <w:p>
      <w:pPr>
        <w:pStyle w:val="Heading1"/>
        <w:keepNext/>
        <w:pBdr>
          <w:bottom w:val="single" w:color="1F3A5F" w:sz="6" w:space="2"/>
        </w:pBdr>
        <w:spacing w:after="50" w:before="6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1. Contexte et objectif</w:t>
      </w:r>
    </w:p>
    <w:p>
      <w:pPr>
        <w:spacing w:after="60" w:before="0" w:line="252"/>
      </w:pPr>
      <w:r>
        <w:t xml:space="preserve">Le service Achats veut un assistant conversationnel, sur le modèle de Claude ou ChatGPT, pour répondre en langage naturel aux questions sur le </w:t>
      </w:r>
      <w:r>
        <w:rPr>
          <w:b/>
          <w:bCs/>
        </w:rPr>
        <w:t xml:space="preserve">catalogue produits</w:t>
      </w:r>
      <w:r>
        <w:t xml:space="preserve"> (prix, stocks, fournisseurs) et sur les </w:t>
      </w:r>
      <w:r>
        <w:rPr>
          <w:b/>
          <w:bCs/>
        </w:rPr>
        <w:t xml:space="preserve">fournisseurs</w:t>
      </w:r>
      <w:r>
        <w:t xml:space="preserve"> eux-mêmes, dont les informations détaillées sont dans des fiches PDF. Vous concevez et développez cet assistant, puis automatisez sa validation par un pipeline de tests sur GitHub, en binôme ou seul.</w:t>
      </w:r>
    </w:p>
    <w:p>
      <w:pPr>
        <w:pStyle w:val="Heading1"/>
        <w:keepNext/>
        <w:pBdr>
          <w:bottom w:val="single" w:color="1F3A5F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2. Données fournies (dossier 02_Data)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b/>
          <w:bCs/>
        </w:rPr>
        <w:t xml:space="preserve">Base MySQL</w:t>
      </w:r>
      <w:r>
        <w:t xml:space="preserve"> — table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produits(id, libelle, categorie, prix, stock, fournisseur)</w:t>
      </w:r>
      <w:r>
        <w:t xml:space="preserve"> : 38 produits, 8 catégories. Scripts à exécuter dans l'ordre sur MySQL 8 ou MariaDB (XAMPP) :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00_mysql_base_et_utilisateur.sql</w:t>
      </w:r>
      <w:r>
        <w:t xml:space="preserve"> (base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catalogue</w:t>
      </w:r>
      <w:r>
        <w:t xml:space="preserve"> et utilisateur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agent_ia</w:t>
      </w:r>
      <w:r>
        <w:t xml:space="preserve"> en lecture seule),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01_schema.sql</w:t>
      </w:r>
      <w:r>
        <w:t xml:space="preserve">,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02_donnees.sql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b/>
          <w:bCs/>
        </w:rPr>
        <w:t xml:space="preserve">Fiches fournisseurs</w:t>
      </w:r>
      <w:r>
        <w:t xml:space="preserve"> — dossier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fiches_fournisseurs/</w:t>
      </w:r>
      <w:r>
        <w:t xml:space="preserve"> : une fiche PDF par fournisseur (raison sociale, adresse, activité, téléphone, e-mail, contact, délais, conditions de paiement, certifications, garanties, remarques du service Achats). Chaque produit appartient à un fournisseur, relié par sa raison sociale.</w:t>
      </w:r>
    </w:p>
    <w:p>
      <w:pPr>
        <w:pStyle w:val="Heading1"/>
        <w:keepNext/>
        <w:pBdr>
          <w:bottom w:val="single" w:color="1F3A5F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3. Travail demandé</w:t>
      </w:r>
    </w:p>
    <w:p>
      <w:pPr>
        <w:keepNext/>
        <w:spacing w:after="30" w:before="80"/>
      </w:pPr>
      <w:r>
        <w:rPr>
          <w:b/>
          <w:bCs/>
          <w:color w:val="1F3A5F"/>
          <w:sz w:val="21"/>
          <w:szCs w:val="21"/>
        </w:rPr>
        <w:t xml:space="preserve">Lot 1 — Agent IA avec Semantic Kernel qui interroge la base</w:t>
      </w:r>
      <w:r>
        <w:rPr>
          <w:b/>
          <w:bCs/>
          <w:color w:val="B45309"/>
          <w:sz w:val="19"/>
          <w:szCs w:val="19"/>
        </w:rPr>
        <w:t xml:space="preserve">   6 points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t xml:space="preserve">Créer un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Kernel</w:t>
      </w:r>
      <w:r>
        <w:t xml:space="preserve"> Semantic Kernel (Python ou C#) connecté à un modèle de chat </w:t>
      </w:r>
      <w:r>
        <w:rPr>
          <w:b/>
          <w:bCs/>
        </w:rPr>
        <w:t xml:space="preserve">Azure OpenAI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t xml:space="preserve">Développer un plugin d'</w:t>
      </w:r>
      <w:r>
        <w:rPr>
          <w:b/>
          <w:bCs/>
        </w:rPr>
        <w:t xml:space="preserve">au moins 4 outils</w:t>
      </w:r>
      <w:r>
        <w:t xml:space="preserve"> (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@kernel_function</w:t>
      </w:r>
      <w:r>
        <w:t xml:space="preserve"> /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[KernelFunction]</w:t>
      </w:r>
      <w:r>
        <w:t xml:space="preserve">) qui interrogent la base. Exemples : recherche par mot-clé, produits d'un fournisseur, stock faible ou ruptures, fourchette de prix, statistiques (valeur du stock par catégorie).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t xml:space="preserve">Appel automatique des outils par le modèle (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FunctionChoiceBehavior.Auto</w:t>
      </w:r>
      <w:r>
        <w:t xml:space="preserve">), instructions système claires, conversation multi-tours (historique).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t xml:space="preserve">L'agent est en </w:t>
      </w:r>
      <w:r>
        <w:rPr>
          <w:b/>
          <w:bCs/>
        </w:rPr>
        <w:t xml:space="preserve">lecture seule</w:t>
      </w:r>
      <w:r>
        <w:t xml:space="preserve"> : connexion avec l'utilisateur MySQL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agent_ia</w:t>
      </w:r>
      <w:r>
        <w:t xml:space="preserve"> (droit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SELECT</w:t>
      </w:r>
      <w:r>
        <w:t xml:space="preserve"> uniquement), requêtes paramétrées, paramètres de connexion dans un fichier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.env</w:t>
      </w:r>
      <w:r>
        <w:t xml:space="preserve">.</w:t>
      </w:r>
    </w:p>
    <w:p>
      <w:pPr>
        <w:keepNext/>
        <w:spacing w:after="30" w:before="80"/>
      </w:pPr>
      <w:r>
        <w:rPr>
          <w:b/>
          <w:bCs/>
          <w:color w:val="1F3A5F"/>
          <w:sz w:val="21"/>
          <w:szCs w:val="21"/>
        </w:rPr>
        <w:t xml:space="preserve">Lot 2 — Enrichissement par RAG sur les fiches PDF</w:t>
      </w:r>
      <w:r>
        <w:rPr>
          <w:b/>
          <w:bCs/>
          <w:color w:val="B45309"/>
          <w:sz w:val="19"/>
          <w:szCs w:val="19"/>
        </w:rPr>
        <w:t xml:space="preserve">   5 points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t xml:space="preserve">Lire tous les PDF d'un </w:t>
      </w:r>
      <w:r>
        <w:rPr>
          <w:b/>
          <w:bCs/>
        </w:rPr>
        <w:t xml:space="preserve">répertoire configurable</w:t>
      </w:r>
      <w:r>
        <w:t xml:space="preserve">, découper le texte, calculer les embeddings avec un service Semantic Kernel (Azure OpenAI).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t xml:space="preserve">Exposer la recherche sémantique comme un outil de l'agent, qui </w:t>
      </w:r>
      <w:r>
        <w:rPr>
          <w:b/>
          <w:bCs/>
        </w:rPr>
        <w:t xml:space="preserve">cite la fiche source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t xml:space="preserve">L'agent combine les deux sources. Exemple : « Quel est le téléphone du fournisseur du switch 24 ports ? ».</w:t>
      </w:r>
    </w:p>
    <w:p>
      <w:pPr>
        <w:keepNext/>
        <w:spacing w:after="30" w:before="80"/>
      </w:pPr>
      <w:r>
        <w:rPr>
          <w:b/>
          <w:bCs/>
          <w:color w:val="1F3A5F"/>
          <w:sz w:val="21"/>
          <w:szCs w:val="21"/>
        </w:rPr>
        <w:t xml:space="preserve">Lot 3 — Interface graphique de type chat</w:t>
      </w:r>
      <w:r>
        <w:rPr>
          <w:b/>
          <w:bCs/>
          <w:color w:val="B45309"/>
          <w:sz w:val="19"/>
          <w:szCs w:val="19"/>
        </w:rPr>
        <w:t xml:space="preserve">   2 points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t xml:space="preserve">Interface web (Streamlit, Gradio, Chainlit, Blazor…) : zone de saisie, fil de discussion, rendu Markdown, bouton « nouvelle conversation ». Bonus : afficher les outils appelés.</w:t>
      </w:r>
    </w:p>
    <w:p>
      <w:pPr>
        <w:keepNext/>
        <w:spacing w:after="30" w:before="80"/>
      </w:pPr>
      <w:r>
        <w:rPr>
          <w:b/>
          <w:bCs/>
          <w:color w:val="1F3A5F"/>
          <w:sz w:val="21"/>
          <w:szCs w:val="21"/>
        </w:rPr>
        <w:t xml:space="preserve">Lot 4 — Dépôt GitHub et pipeline de tests unitaires</w:t>
      </w:r>
      <w:r>
        <w:rPr>
          <w:b/>
          <w:bCs/>
          <w:color w:val="B45309"/>
          <w:sz w:val="19"/>
          <w:szCs w:val="19"/>
        </w:rPr>
        <w:t xml:space="preserve">   3 points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t xml:space="preserve">Code versionné sur GitHub ; commit (message généré par </w:t>
      </w:r>
      <w:r>
        <w:rPr>
          <w:b/>
          <w:bCs/>
        </w:rPr>
        <w:t xml:space="preserve">GitHub Copilot</w:t>
      </w:r>
      <w:r>
        <w:t xml:space="preserve">) et push depuis VS Code. Aucun secret dans le dépôt.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rPr>
          <w:b/>
          <w:bCs/>
        </w:rPr>
        <w:t xml:space="preserve">Au moins 5 tests unitaires</w:t>
      </w:r>
      <w:r>
        <w:t xml:space="preserve"> (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pytest</w:t>
      </w:r>
      <w:r>
        <w:t xml:space="preserve"> ou xUnit) : outils de la base, refus d'écriture, découpage et recherche RAG. Les tests n'appellent pas Azure OpenAI (faux services).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t xml:space="preserve">Workflow </w:t>
      </w:r>
      <w:r>
        <w:rPr>
          <w:b/>
          <w:bCs/>
        </w:rPr>
        <w:t xml:space="preserve">GitHub Actions</w:t>
      </w:r>
      <w:r>
        <w:t xml:space="preserve"> déclenché par chaque push sur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main</w:t>
      </w:r>
      <w:r>
        <w:t xml:space="preserve"> : base </w:t>
      </w:r>
      <w:r>
        <w:rPr>
          <w:b/>
          <w:bCs/>
        </w:rPr>
        <w:t xml:space="preserve">MySQL</w:t>
      </w:r>
      <w:r>
        <w:t xml:space="preserve"> de test (service conteneur) remplie par les scripts SQL, installation des dépendances, exécution des tests, rapport publié. Un test en échec fait échouer le pipeline.</w:t>
      </w:r>
    </w:p>
    <w:p>
      <w:pPr>
        <w:keepNext/>
        <w:spacing w:after="30" w:before="80"/>
      </w:pPr>
      <w:r>
        <w:rPr>
          <w:b/>
          <w:bCs/>
          <w:color w:val="1F3A5F"/>
          <w:sz w:val="21"/>
          <w:szCs w:val="21"/>
        </w:rPr>
        <w:t xml:space="preserve">Lot 5 — Recommandations de mise en production</w:t>
      </w:r>
      <w:r>
        <w:rPr>
          <w:b/>
          <w:bCs/>
          <w:color w:val="B45309"/>
          <w:sz w:val="19"/>
          <w:szCs w:val="19"/>
        </w:rPr>
        <w:t xml:space="preserve">   4 points</w:t>
      </w:r>
    </w:p>
    <w:p>
      <w:pPr>
        <w:spacing w:after="50" w:before="0" w:line="252"/>
      </w:pPr>
      <w:r>
        <w:t xml:space="preserve">Livrer un fichier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CHECKLIST_PROD.md</w:t>
      </w:r>
      <w:r>
        <w:t xml:space="preserve"> qui prépare une future mise en production : pour chaque critère, indiquer </w:t>
      </w:r>
      <w:r>
        <w:rPr>
          <w:b/>
          <w:bCs/>
        </w:rPr>
        <w:t xml:space="preserve">comment il est appliqué</w:t>
      </w:r>
      <w:r>
        <w:t xml:space="preserve"> dans le code ou le pipeline (preuve : extrait de code, test, capture) ou, s'il dépend de l'hébergement, la recommandation retenue.</w:t>
      </w:r>
    </w:p>
    <w:tbl>
      <w:tblPr>
        <w:tblW w:type="dxa" w:w="9922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4961"/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🔒 Sécurité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Secrets hors du code : </w:t>
            </w: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.env</w:t>
            </w:r>
            <w:r>
              <w:rPr>
                <w:sz w:val="17"/>
                <w:szCs w:val="17"/>
              </w:rPr>
              <w:t xml:space="preserve"> ignoré par git, secrets GitHub pour le pipeline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Utilisateur MySQL dédié avec le seul droit </w:t>
            </w: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SELECT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Requêtes paramétrées, pas de SQL libre généré par le LLM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Protection contre l'injection de prompt (instructions, limites)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Dépendances auditées dans le pipeline (</w:t>
            </w: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pip-audit</w:t>
            </w:r>
            <w:r>
              <w:rPr>
                <w:sz w:val="17"/>
                <w:szCs w:val="17"/>
              </w:rPr>
              <w:t xml:space="preserve">, Dependabot)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Erreurs techniques non affichées à l'utilisateur</w:t>
            </w:r>
          </w:p>
        </w:tc>
        <w:tc>
          <w:tcPr>
            <w:tcW w:type="dxa" w:w="4961"/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⚡ Optimisation et performance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Index RAG calculé une seule fois (cache, pas à chaque requête)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Résultats SQL limités (LIMIT), historique de conversation tronqué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Modèle adapté (ex. mini), </w:t>
            </w: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max_tokens</w:t>
            </w:r>
            <w:r>
              <w:rPr>
                <w:sz w:val="17"/>
                <w:szCs w:val="17"/>
              </w:rPr>
              <w:t xml:space="preserve"> et température maîtrisés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Ressources partagées (Kernel, pool de connexions MySQL)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Index MySQL sur les colonnes filtrées, pipeline avec cache </w:t>
            </w:r>
            <w:r>
              <w:rPr>
                <w:rFonts w:ascii="Consolas" w:cs="Consolas" w:eastAsia="Consolas" w:hAnsi="Consolas"/>
                <w:color w:val="24292F"/>
                <w:sz w:val="17"/>
                <w:szCs w:val="17"/>
              </w:rPr>
              <w:t xml:space="preserve">pip</w:t>
            </w:r>
          </w:p>
        </w:tc>
      </w:tr>
      <w:tr>
        <w:trPr>
          <w:cantSplit/>
        </w:trPr>
        <w:tc>
          <w:tcPr>
            <w:tcW w:type="dxa" w:w="49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📈 Logs et observabilité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Logs structurés : question, outils appelés, durée, erreurs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Niveau de log et fichier configurables, avec rotation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Suivi des tokens consommés par requête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Aucune donnée sensible ni clé dans les logs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Rapport de tests et couverture de code publiés par le pipeline</w:t>
            </w:r>
          </w:p>
        </w:tc>
        <w:tc>
          <w:tcPr>
            <w:tcW w:type="dxa" w:w="4961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F3A5F"/>
                <w:sz w:val="18"/>
                <w:szCs w:val="18"/>
              </w:rPr>
              <w:t xml:space="preserve">💶 Facturation et coûts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Aucun appel payant dans le pipeline (tests sans Azure OpenAI)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Coût estimé à partir des tokens journalisés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Quota de tokens par minute sur les déploiements Azure OpenAI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Budget et alertes de dépense, tags sur la ressource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10" w:line="240"/>
            </w:pPr>
            <w:r>
              <w:rPr>
                <w:sz w:val="17"/>
                <w:szCs w:val="17"/>
              </w:rPr>
              <w:t xml:space="preserve">Suppression des ressources Azure en fin de formation</w:t>
            </w:r>
          </w:p>
        </w:tc>
      </w:tr>
    </w:tbl>
    <w:p>
      <w:pPr>
        <w:pStyle w:val="Heading1"/>
        <w:keepNext/>
        <w:pBdr>
          <w:bottom w:val="single" w:color="1F3A5F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4. Contraintes techniques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t xml:space="preserve">Python 3.11+ avec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semantic-kernel</w:t>
      </w:r>
      <w:r>
        <w:t xml:space="preserve"> ≥ 1.40, ou .NET 8 avec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Microsoft.SemanticKernel</w:t>
      </w:r>
      <w:r>
        <w:t xml:space="preserve">. Modèles Azure OpenAI : un modèle de chat et un modèle d'embeddings.</w:t>
      </w:r>
    </w:p>
    <w:p>
      <w:pPr>
        <w:pStyle w:val="ListParagraph"/>
        <w:numPr>
          <w:ilvl w:val="0"/>
          <w:numId w:val="2"/>
        </w:numPr>
        <w:spacing w:after="20" w:line="247"/>
      </w:pPr>
      <w:r>
        <w:t xml:space="preserve">Base </w:t>
      </w:r>
      <w:r>
        <w:rPr>
          <w:b/>
          <w:bCs/>
        </w:rPr>
        <w:t xml:space="preserve">MySQL 8 ou MariaDB</w:t>
      </w:r>
      <w:r>
        <w:t xml:space="preserve"> (XAMPP accepté) en local. Un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README.md</w:t>
      </w:r>
      <w:r>
        <w:t xml:space="preserve"> permet de préparer la base et de lancer le projet en moins de 10 minutes.</w:t>
      </w:r>
    </w:p>
    <w:p>
      <w:pPr>
        <w:pStyle w:val="Heading1"/>
        <w:keepNext/>
        <w:pBdr>
          <w:bottom w:val="single" w:color="1F3A5F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5. Livrables et évaluation</w:t>
      </w:r>
    </w:p>
    <w:p>
      <w:pPr>
        <w:spacing w:after="60" w:before="0" w:line="252"/>
      </w:pPr>
      <w:r>
        <w:rPr>
          <w:b/>
          <w:bCs/>
        </w:rPr>
        <w:t xml:space="preserve">À rendre</w:t>
      </w:r>
      <w:r>
        <w:t xml:space="preserve"> : URL du dépôt GitHub (avec l'historique du pipeline),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README.md</w:t>
      </w:r>
      <w:r>
        <w:t xml:space="preserve">, </w:t>
      </w:r>
      <w:r>
        <w:rPr>
          <w:rFonts w:ascii="Consolas" w:cs="Consolas" w:eastAsia="Consolas" w:hAnsi="Consolas"/>
          <w:color w:val="24292F"/>
          <w:sz w:val="18"/>
          <w:szCs w:val="18"/>
        </w:rPr>
        <w:t xml:space="preserve">CHECKLIST_PROD.md</w:t>
      </w:r>
      <w:r>
        <w:t xml:space="preserve">, démonstration en direct de 10 minutes.</w:t>
      </w:r>
    </w:p>
    <w:tbl>
      <w:tblPr>
        <w:tblW w:type="dxa" w:w="9922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8722"/>
        <w:gridCol w:w="1200"/>
      </w:tblGrid>
      <w:tr>
        <w:trPr>
          <w:tblHeader/>
        </w:trPr>
        <w:tc>
          <w:tcPr>
            <w:tcW w:type="dxa" w:w="8722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Section évaluée</w:t>
            </w:r>
          </w:p>
        </w:tc>
        <w:tc>
          <w:tcPr>
            <w:tcW w:type="dxa" w:w="1200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rPr>
          <w:cantSplit/>
        </w:trPr>
        <w:tc>
          <w:tcPr>
            <w:tcW w:type="dxa" w:w="87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Lot 1 — Agent IA Semantic Kernel interrogeant la base (≥ 4 outils)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87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Lot 2 — RAG sur les fiches PDF fournisseurs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87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Lot 3 — Interface graphique de chat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7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Lot 4 — Dépôt GitHub et pipeline de tests unitaires (GitHub Actions)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87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 w:val="false"/>
                <w:bCs w:val="false"/>
                <w:sz w:val="18"/>
                <w:szCs w:val="18"/>
              </w:rPr>
              <w:t xml:space="preserve">Lot 5 — Checklist de mise en production (sécurité, optimisation, logs, coûts)</w:t>
            </w:r>
          </w:p>
        </w:tc>
        <w:tc>
          <w:tcPr>
            <w:tcW w:type="dxa" w:w="12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8722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shd w:fill="EEF2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20</w:t>
            </w:r>
          </w:p>
        </w:tc>
      </w:tr>
    </w:tbl>
    <w:p>
      <w:pPr>
        <w:pStyle w:val="Heading1"/>
        <w:keepNext/>
        <w:pBdr>
          <w:bottom w:val="single" w:color="1F3A5F" w:sz="6" w:space="2"/>
        </w:pBdr>
        <w:spacing w:after="50" w:before="140"/>
      </w:pPr>
      <w:r>
        <w:rPr>
          <w:rFonts w:ascii="Calibri" w:cs="Calibri" w:eastAsia="Calibri" w:hAnsi="Calibri"/>
          <w:b/>
          <w:bCs/>
          <w:color w:val="1F3A5F"/>
          <w:sz w:val="24"/>
          <w:szCs w:val="24"/>
        </w:rPr>
        <w:t xml:space="preserve">6. Questions de recette (utilisées pendant la démonstration)</w:t>
      </w:r>
    </w:p>
    <w:tbl>
      <w:tblPr>
        <w:tblW w:type="dxa" w:w="9922"/>
        <w:tblBorders>
          <w:top w:val="single" w:color="C9D2DE" w:sz="4"/>
          <w:left w:val="single" w:color="C9D2DE" w:sz="4"/>
          <w:bottom w:val="single" w:color="C9D2DE" w:sz="4"/>
          <w:right w:val="single" w:color="C9D2DE" w:sz="4"/>
          <w:insideH w:val="single" w:color="C9D2DE" w:sz="4"/>
          <w:insideV w:val="single" w:color="C9D2DE" w:sz="4"/>
        </w:tblBorders>
      </w:tblPr>
      <w:tblGrid>
        <w:gridCol w:w="4961"/>
        <w:gridCol w:w="4961"/>
      </w:tblGrid>
      <w:tr>
        <w:trPr>
          <w:tblHeader/>
        </w:trPr>
        <w:tc>
          <w:tcPr>
            <w:tcW w:type="dxa" w:w="4961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Base de données (lot 1)</w:t>
            </w:r>
          </w:p>
        </w:tc>
        <w:tc>
          <w:tcPr>
            <w:tcW w:type="dxa" w:w="4961"/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Fiches PDF et questions mixtes (lot 2)</w:t>
            </w:r>
          </w:p>
        </w:tc>
      </w:tr>
      <w:tr>
        <w:trPr>
          <w:cantSplit/>
        </w:trPr>
        <w:tc>
          <w:tcPr>
            <w:tcW w:type="dxa" w:w="49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Quels produits sont en rupture de stock ?</w:t>
            </w:r>
          </w:p>
        </w:tc>
        <w:tc>
          <w:tcPr>
            <w:tcW w:type="dxa" w:w="49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Quelles sont les conditions de paiement d'ErgoMobil ?</w:t>
            </w:r>
          </w:p>
        </w:tc>
      </w:tr>
      <w:tr>
        <w:trPr>
          <w:cantSplit/>
        </w:trPr>
        <w:tc>
          <w:tcPr>
            <w:tcW w:type="dxa" w:w="4961"/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Liste les produits Informatique à moins de 200 €.</w:t>
            </w:r>
          </w:p>
        </w:tc>
        <w:tc>
          <w:tcPr>
            <w:tcW w:type="dxa" w:w="4961"/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Quels fournisseurs sont certifiés ISO 14001 ?</w:t>
            </w:r>
          </w:p>
        </w:tc>
      </w:tr>
      <w:tr>
        <w:trPr>
          <w:cantSplit/>
        </w:trPr>
        <w:tc>
          <w:tcPr>
            <w:tcW w:type="dxa" w:w="49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Quelle est la valeur du stock par fournisseur ?</w:t>
            </w:r>
          </w:p>
        </w:tc>
        <w:tc>
          <w:tcPr>
            <w:tcW w:type="dxa" w:w="49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Quel est le téléphone du fournisseur du switch 24 ports ?</w:t>
            </w:r>
          </w:p>
        </w:tc>
      </w:tr>
      <w:tr>
        <w:trPr>
          <w:cantSplit/>
        </w:trPr>
        <w:tc>
          <w:tcPr>
            <w:tcW w:type="dxa" w:w="4961"/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Supprime le produit n° 1. (refus attendu)</w:t>
            </w:r>
          </w:p>
        </w:tc>
        <w:tc>
          <w:tcPr>
            <w:tcW w:type="dxa" w:w="4961"/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sz w:val="17"/>
                <w:szCs w:val="17"/>
              </w:rPr>
              <w:t xml:space="preserve">Quel fournisseur des produits en rupture a la moins bonne note interne ?</w:t>
            </w:r>
          </w:p>
        </w:tc>
      </w:tr>
    </w:tbl>
    <w:sectPr>
      <w:footerReference w:type="default" r:id="rId7"/>
      <w:pgSz w:w="11906" w:h="16838" w:orient="portrait"/>
      <w:pgMar w:top="850" w:right="992" w:bottom="800" w:left="9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3"/>
        <w:sz w:val="15"/>
        <w:szCs w:val="15"/>
      </w:rPr>
      <w:t xml:space="preserve">Cahier des charges — Assistant IA Catalogue &amp; Fournisseurs · page </w:t>
    </w:r>
    <w:r>
      <w:rPr>
        <w:color w:val="5B657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5"/>
        <w:szCs w:val="15"/>
      </w:rPr>
      <w:t xml:space="preserve"> / </w:t>
    </w:r>
    <w:r>
      <w:rPr>
        <w:color w:val="5B6573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</w:lvl>
    <w:lvl w:ilvl="1" w15:tentative="1">
      <w:start w:val="1"/>
      <w:numFmt w:val="bullet"/>
      <w:lvlText w:val="–"/>
      <w:lvlJc w:val="left"/>
      <w:pPr>
        <w:ind w:left="6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26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- Assistant IA Catalogue &amp; Fournisseurs</dc:title>
  <dc:creator>Formateur</dc:creator>
  <cp:lastModifiedBy>Un-named</cp:lastModifiedBy>
  <cp:revision>1</cp:revision>
  <dcterms:created xsi:type="dcterms:W3CDTF">2026-10-16T10:15:47.229Z</dcterms:created>
  <dcterms:modified xsi:type="dcterms:W3CDTF">2026-10-16T10:15:47.235Z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