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0" w:after="80"/>
        <w:jc w:val="center"/>
      </w:pPr>
      <w:r>
        <w:rPr>
          <w:rFonts w:ascii="Arial" w:cs="Arial" w:eastAsia="Arial" w:hAnsi="Arial"/>
          <w:b/>
          <w:bCs/>
          <w:color w:val="1B5E20"/>
          <w:sz w:val="64"/>
          <w:szCs w:val="64"/>
        </w:rPr>
        <w:t xml:space="preserve">RACKIQ</w:t>
      </w:r>
    </w:p>
    <w:p>
      <w:pPr>
        <w:spacing w:before="0" w:after="200"/>
        <w:jc w:val="center"/>
      </w:pPr>
      <w:r>
        <w:rPr>
          <w:rFonts w:ascii="Arial" w:cs="Arial" w:eastAsia="Arial" w:hAnsi="Arial"/>
          <w:b/>
          <w:bCs/>
          <w:color w:val="2E7D32"/>
          <w:sz w:val="30"/>
          <w:szCs w:val="30"/>
        </w:rPr>
        <w:t xml:space="preserve">Documentación de Base de Datos</w:t>
      </w:r>
    </w:p>
    <w:p>
      <w:pPr>
        <w:spacing w:before="0" w:after="80"/>
        <w:jc w:val="center"/>
      </w:pPr>
      <w:r>
        <w:rPr>
          <w:rFonts w:ascii="Arial" w:cs="Arial" w:eastAsia="Arial" w:hAnsi="Arial"/>
          <w:color w:val="546E7A"/>
          <w:sz w:val="22"/>
          <w:szCs w:val="22"/>
        </w:rPr>
        <w:t xml:space="preserve">Esquema relacional · Supabase · PostgreSQL 16</w:t>
      </w:r>
    </w:p>
    <w:p>
      <w:pPr>
        <w:spacing w:before="400"/>
      </w:pPr>
    </w:p>
    <w:p>
      <w:pPr>
        <w:spacing w:before="0" w:after="80"/>
        <w:jc w:val="center"/>
      </w:pPr>
      <w:r>
        <w:rPr>
          <w:rFonts w:ascii="Arial" w:cs="Arial" w:eastAsia="Arial" w:hAnsi="Arial"/>
          <w:sz w:val="22"/>
          <w:szCs w:val="22"/>
        </w:rPr>
        <w:t xml:space="preserve">Erik García Chávez — 01275863</w:t>
      </w:r>
    </w:p>
    <w:p>
      <w:pPr>
        <w:spacing w:before="0" w:after="80"/>
        <w:jc w:val="center"/>
      </w:pPr>
      <w:r>
        <w:rPr>
          <w:rFonts w:ascii="Arial" w:cs="Arial" w:eastAsia="Arial" w:hAnsi="Arial"/>
          <w:sz w:val="22"/>
          <w:szCs w:val="22"/>
        </w:rPr>
        <w:t xml:space="preserve">Mauricio Alonso Sánchez Herrera</w:t>
      </w:r>
    </w:p>
    <w:p>
      <w:pPr>
        <w:spacing w:before="0" w:after="80"/>
        <w:jc w:val="center"/>
      </w:pPr>
      <w:r>
        <w:rPr>
          <w:rFonts w:ascii="Arial" w:cs="Arial" w:eastAsia="Arial" w:hAnsi="Arial"/>
          <w:color w:val="546E7A"/>
          <w:sz w:val="22"/>
          <w:szCs w:val="22"/>
        </w:rPr>
        <w:t xml:space="preserve">Universidad Autónoma de Baja California — 2025</w:t>
      </w:r>
    </w:p>
    <w:p>
      <w:r>
        <w:br w:type="page"/>
      </w:r>
    </w:p>
    <w:p>
      <w:pPr>
        <w:pStyle w:val="Heading1"/>
        <w:spacing w:before="400" w:after="160"/>
      </w:pPr>
      <w:r>
        <w:rPr>
          <w:rFonts w:ascii="Arial" w:cs="Arial" w:eastAsia="Arial" w:hAnsi="Arial"/>
          <w:b/>
          <w:bCs/>
          <w:color w:val="1B5E20"/>
          <w:sz w:val="32"/>
          <w:szCs w:val="32"/>
        </w:rPr>
        <w:t xml:space="preserve">1. Introducción</w:t>
      </w:r>
    </w:p>
    <w:p>
      <w:pPr>
        <w:spacing w:before="60" w:after="120"/>
        <w:jc w:val="both"/>
      </w:pPr>
      <w:r>
        <w:rPr>
          <w:rFonts w:ascii="Arial" w:cs="Arial" w:eastAsia="Arial" w:hAnsi="Arial"/>
          <w:sz w:val="22"/>
          <w:szCs w:val="22"/>
        </w:rPr>
        <w:t xml:space="preserve">La base de datos de RackIQ está diseñada sobre PostgreSQL 16 y hospedada en Supabase. Está organizada en 18 tablas que cubren todos los aspectos del sistema: desde la lectura física de sensores hasta la gestión multi-tenant de organizaciones, auditorías, reportes y patrones de machine learning.</w:t>
      </w:r>
    </w:p>
    <w:p>
      <w:pPr>
        <w:spacing w:before="60" w:after="120"/>
        <w:jc w:val="both"/>
      </w:pPr>
      <w:r>
        <w:rPr>
          <w:rFonts w:ascii="Arial" w:cs="Arial" w:eastAsia="Arial" w:hAnsi="Arial"/>
          <w:sz w:val="22"/>
          <w:szCs w:val="22"/>
        </w:rPr>
        <w:t xml:space="preserve">El modelo sigue un diseño multi-tenant donde una organización puede tener múltiples sucursales, cada sucursal múltiples estantes, y cada estante un producto asignado con su nodo ESP32 correspondiente.</w:t>
      </w:r>
    </w:p>
    <w:p>
      <w:pPr>
        <w:pBdr>
          <w:bottom w:val="single" w:color="C8E6C9" w:sz="4"/>
        </w:pBdr>
        <w:spacing w:before="120" w:after="120"/>
      </w:pPr>
    </w:p>
    <w:p>
      <w:pPr>
        <w:pStyle w:val="Heading1"/>
        <w:spacing w:before="400" w:after="160"/>
      </w:pPr>
      <w:r>
        <w:rPr>
          <w:rFonts w:ascii="Arial" w:cs="Arial" w:eastAsia="Arial" w:hAnsi="Arial"/>
          <w:b/>
          <w:bCs/>
          <w:color w:val="1B5E20"/>
          <w:sz w:val="32"/>
          <w:szCs w:val="32"/>
        </w:rPr>
        <w:t xml:space="preserve">2. Grupos de Tablas</w:t>
      </w:r>
    </w:p>
    <w:p>
      <w:pPr>
        <w:spacing w:before="60" w:after="120"/>
        <w:jc w:val="both"/>
      </w:pPr>
      <w:r>
        <w:rPr>
          <w:rFonts w:ascii="Arial" w:cs="Arial" w:eastAsia="Arial" w:hAnsi="Arial"/>
          <w:sz w:val="22"/>
          <w:szCs w:val="22"/>
        </w:rPr>
        <w:t xml:space="preserve">Las 18 tablas se organizan en 5 grupos funcionales: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Grupo</w:t>
            </w:r>
          </w:p>
        </w:tc>
        <w:tc>
          <w:tcPr>
            <w:tcW w:type="dxa" w:w="35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Tablas</w:t>
            </w:r>
          </w:p>
        </w:tc>
        <w:tc>
          <w:tcPr>
            <w:tcW w:type="dxa" w:w="36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Responsabilidad</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y usuarios</w:t>
            </w:r>
          </w:p>
        </w:tc>
        <w:tc>
          <w:tcPr>
            <w:tcW w:type="dxa" w:w="35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ORGANIZATION, USER, BRANCH, ORGANIZATION_TOKEN, BRANCH_INVITATION</w:t>
            </w:r>
          </w:p>
        </w:tc>
        <w:tc>
          <w:tcPr>
            <w:tcW w:type="dxa" w:w="3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Multi-tenancy, autenticación, roles y control de acceso</w:t>
            </w:r>
          </w:p>
        </w:tc>
      </w:tr>
      <w:tr>
        <w:tc>
          <w:tcPr>
            <w:tcW w:type="dxa" w:w="2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Hardware e infraestructura</w:t>
            </w:r>
          </w:p>
        </w:tc>
        <w:tc>
          <w:tcPr>
            <w:tcW w:type="dxa" w:w="3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ESP32_NODE, STORE_HOURS</w:t>
            </w:r>
          </w:p>
        </w:tc>
        <w:tc>
          <w:tcPr>
            <w:tcW w:type="dxa" w:w="3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Nodos físicos, heartbeat, horarios de tienda</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Catálogo y configuración</w:t>
            </w:r>
          </w:p>
        </w:tc>
        <w:tc>
          <w:tcPr>
            <w:tcW w:type="dxa" w:w="35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 SUPPLIER, SHELF</w:t>
            </w:r>
          </w:p>
        </w:tc>
        <w:tc>
          <w:tcPr>
            <w:tcW w:type="dxa" w:w="3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Productos, proveedores, estantes y umbrales</w:t>
            </w:r>
          </w:p>
        </w:tc>
      </w:tr>
      <w:tr>
        <w:tc>
          <w:tcPr>
            <w:tcW w:type="dxa" w:w="2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Datos de sensores y eventos</w:t>
            </w:r>
          </w:p>
        </w:tc>
        <w:tc>
          <w:tcPr>
            <w:tcW w:type="dxa" w:w="35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WEIGHT_READING, STOCK_EVENT, ALERT, ANOMALY_EVENT</w:t>
            </w:r>
          </w:p>
        </w:tc>
        <w:tc>
          <w:tcPr>
            <w:tcW w:type="dxa" w:w="3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Flujo de datos en tiempo real desde la Raspberry Pi</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Lógica de negocio</w:t>
            </w:r>
          </w:p>
        </w:tc>
        <w:tc>
          <w:tcPr>
            <w:tcW w:type="dxa" w:w="35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INVENTORY_AUDIT, AUDIT_LINE, PURCHASE_ORDER, SUPPLIER_RECEIPT, BUSINESS_REPORT, SEASONAL_PATTERN</w:t>
            </w:r>
          </w:p>
        </w:tc>
        <w:tc>
          <w:tcPr>
            <w:tcW w:type="dxa" w:w="3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Auditorías, pedidos, reportes y patrones de ML</w:t>
            </w:r>
          </w:p>
        </w:tc>
      </w:tr>
    </w:tbl>
    <w:p>
      <w:pPr>
        <w:spacing w:before="80" w:after="80"/>
      </w:pPr>
    </w:p>
    <w:p>
      <w:pPr>
        <w:pBdr>
          <w:bottom w:val="single" w:color="C8E6C9" w:sz="4"/>
        </w:pBdr>
        <w:spacing w:before="120" w:after="120"/>
      </w:pPr>
    </w:p>
    <w:p>
      <w:pPr>
        <w:pStyle w:val="Heading1"/>
        <w:spacing w:before="400" w:after="160"/>
      </w:pPr>
      <w:r>
        <w:rPr>
          <w:rFonts w:ascii="Arial" w:cs="Arial" w:eastAsia="Arial" w:hAnsi="Arial"/>
          <w:b/>
          <w:bCs/>
          <w:color w:val="1B5E20"/>
          <w:sz w:val="32"/>
          <w:szCs w:val="32"/>
        </w:rPr>
        <w:t xml:space="preserve">3. Descripción Detallada de Tablas</w:t>
      </w:r>
    </w:p>
    <w:p>
      <w:pPr>
        <w:pStyle w:val="Heading2"/>
        <w:spacing w:before="280" w:after="120"/>
      </w:pPr>
      <w:r>
        <w:rPr>
          <w:rFonts w:ascii="Arial" w:cs="Arial" w:eastAsia="Arial" w:hAnsi="Arial"/>
          <w:b/>
          <w:bCs/>
          <w:color w:val="2E7D32"/>
          <w:sz w:val="26"/>
          <w:szCs w:val="26"/>
        </w:rPr>
        <w:t xml:space="preserve">3.1 ORGANIZATION</w:t>
      </w:r>
    </w:p>
    <w:p>
      <w:pPr>
        <w:spacing w:before="60" w:after="120"/>
        <w:jc w:val="both"/>
      </w:pPr>
      <w:r>
        <w:rPr>
          <w:rFonts w:ascii="Arial" w:cs="Arial" w:eastAsia="Arial" w:hAnsi="Arial"/>
          <w:sz w:val="22"/>
          <w:szCs w:val="22"/>
        </w:rPr>
        <w:t xml:space="preserve">Entidad raíz del modelo multi-tenant. Cada organización es un negocio cliente de RackIQ. Todos los demás recursos del sistema pertenecen a una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organización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del negocio (ej. Tienda La Esquina)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slug</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URL amigable único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plan_type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Plan de suscripción: free / pro / enterprise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registro de la organización</w:t>
            </w:r>
          </w:p>
        </w:tc>
      </w:tr>
    </w:tbl>
    <w:p>
      <w:pPr>
        <w:spacing w:before="80" w:after="80"/>
      </w:pPr>
    </w:p>
    <w:p>
      <w:pPr>
        <w:pStyle w:val="Heading2"/>
        <w:spacing w:before="280" w:after="120"/>
      </w:pPr>
      <w:r>
        <w:rPr>
          <w:rFonts w:ascii="Arial" w:cs="Arial" w:eastAsia="Arial" w:hAnsi="Arial"/>
          <w:b/>
          <w:bCs/>
          <w:color w:val="2E7D32"/>
          <w:sz w:val="26"/>
          <w:szCs w:val="26"/>
        </w:rPr>
        <w:t xml:space="preserve">3.2 USER</w:t>
      </w:r>
    </w:p>
    <w:p>
      <w:pPr>
        <w:spacing w:before="60" w:after="120"/>
        <w:jc w:val="both"/>
      </w:pPr>
      <w:r>
        <w:rPr>
          <w:rFonts w:ascii="Arial" w:cs="Arial" w:eastAsia="Arial" w:hAnsi="Arial"/>
          <w:sz w:val="22"/>
          <w:szCs w:val="22"/>
        </w:rPr>
        <w:t xml:space="preserve">Usuarios del sistema. El campo id está sincronizado con Supabase Auth — cuando un usuario se registra en la app, Supabase crea el registro de autenticación y el sistema crea el registro complementario en esta tabla. El push_token se actualiza cada vez que el usuario abre la app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usuario (sincronizado con Supabase Auth)</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a la que pertenece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Correo electrónico — usado para login y alertas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completo del usuario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role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Rol: owner (dueño), manager (gerente), employee (empleado)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push_token</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Token FCM del dispositivo móvil para notificaciones push U07</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alta del usuario</w:t>
            </w:r>
          </w:p>
        </w:tc>
      </w:tr>
    </w:tbl>
    <w:p>
      <w:pPr>
        <w:spacing w:before="80" w:after="80"/>
      </w:pPr>
    </w:p>
    <w:p>
      <w:pPr>
        <w:pStyle w:val="Heading2"/>
        <w:spacing w:before="280" w:after="120"/>
      </w:pPr>
      <w:r>
        <w:rPr>
          <w:rFonts w:ascii="Arial" w:cs="Arial" w:eastAsia="Arial" w:hAnsi="Arial"/>
          <w:b/>
          <w:bCs/>
          <w:color w:val="2E7D32"/>
          <w:sz w:val="26"/>
          <w:szCs w:val="26"/>
        </w:rPr>
        <w:t xml:space="preserve">3.3 PRODUCT</w:t>
      </w:r>
    </w:p>
    <w:p>
      <w:pPr>
        <w:spacing w:before="60" w:after="120"/>
        <w:jc w:val="both"/>
      </w:pPr>
      <w:r>
        <w:rPr>
          <w:rFonts w:ascii="Arial" w:cs="Arial" w:eastAsia="Arial" w:hAnsi="Arial"/>
          <w:sz w:val="22"/>
          <w:szCs w:val="22"/>
        </w:rPr>
        <w:t xml:space="preserve">Catálogo de productos de la organización. El campo unit_weight_grams es fundamental: permite al sistema convertir un delta de peso (gramos) en unidades vendidas. Un estante solo puede tener asignado un tipo de producto a la vez (U04).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producto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dueña del producto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del producto (ej. Leche Lala 1L)</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sku</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Código de identificación del producto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unit_weight_grams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por unidad en gramos — base para calcular unidades por peso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cost_price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Precio de costo para cálculo de rentabilidad U09</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sale_price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Precio de venta al público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category</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Categoría del producto (ej. lácteos, botanas)</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registro</w:t>
            </w:r>
          </w:p>
        </w:tc>
      </w:tr>
    </w:tbl>
    <w:p>
      <w:pPr>
        <w:spacing w:before="80" w:after="80"/>
      </w:pPr>
    </w:p>
    <w:p>
      <w:pPr>
        <w:pStyle w:val="Heading2"/>
        <w:spacing w:before="280" w:after="120"/>
      </w:pPr>
      <w:r>
        <w:rPr>
          <w:rFonts w:ascii="Arial" w:cs="Arial" w:eastAsia="Arial" w:hAnsi="Arial"/>
          <w:b/>
          <w:bCs/>
          <w:color w:val="2E7D32"/>
          <w:sz w:val="26"/>
          <w:szCs w:val="26"/>
        </w:rPr>
        <w:t xml:space="preserve">3.4 SUPPLIER</w:t>
      </w:r>
    </w:p>
    <w:p>
      <w:pPr>
        <w:spacing w:before="60" w:after="120"/>
        <w:jc w:val="both"/>
      </w:pPr>
      <w:r>
        <w:rPr>
          <w:rFonts w:ascii="Arial" w:cs="Arial" w:eastAsia="Arial" w:hAnsi="Arial"/>
          <w:sz w:val="22"/>
          <w:szCs w:val="22"/>
        </w:rPr>
        <w:t xml:space="preserve">Proveedores registrados por la organización. El campo preferred_channel determina por qué medio el Worker notifica al dueño cuando hay stock bajo en modo manual (F06): WhatsApp, email o Telegram. El order_template contiene el mensaje personalizado de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proveedor</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a la que pertenece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del proveedor</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contact_email</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Email de contacto para alertas de pedido F06</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whatsapp_number</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Número de WhatsApp para notificaciones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preferred_channel</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Canal preferido: whatsapp / email / telegram</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order_template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Plantilla de mensaje de pedido personalizable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registro</w:t>
            </w:r>
          </w:p>
        </w:tc>
      </w:tr>
    </w:tbl>
    <w:p>
      <w:pPr>
        <w:spacing w:before="80" w:after="80"/>
      </w:pPr>
    </w:p>
    <w:p>
      <w:pPr>
        <w:pStyle w:val="Heading2"/>
        <w:spacing w:before="280" w:after="120"/>
      </w:pPr>
      <w:r>
        <w:rPr>
          <w:rFonts w:ascii="Arial" w:cs="Arial" w:eastAsia="Arial" w:hAnsi="Arial"/>
          <w:b/>
          <w:bCs/>
          <w:color w:val="2E7D32"/>
          <w:sz w:val="26"/>
          <w:szCs w:val="26"/>
        </w:rPr>
        <w:t xml:space="preserve">3.5 BRANCH</w:t>
      </w:r>
    </w:p>
    <w:p>
      <w:pPr>
        <w:spacing w:before="60" w:after="120"/>
        <w:jc w:val="both"/>
      </w:pPr>
      <w:r>
        <w:rPr>
          <w:rFonts w:ascii="Arial" w:cs="Arial" w:eastAsia="Arial" w:hAnsi="Arial"/>
          <w:sz w:val="22"/>
          <w:szCs w:val="22"/>
        </w:rPr>
        <w:t xml:space="preserve">Sucursales de la organización. El timezone es crítico para el requerimiento F07.1: detectar retiros fuera del horario de tienda como posibles anomalías. Una organización puede tener múltiples sucursales (U03).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sucursal</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a la que pertenece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de la sucursal (ej. Sucursal Norte)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address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Dirección física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timezone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Zona horaria para detección de actividad fuera de horario F07.1</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is_active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Indica si la sucursal está operativa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alta</w:t>
            </w:r>
          </w:p>
        </w:tc>
      </w:tr>
    </w:tbl>
    <w:p>
      <w:pPr>
        <w:spacing w:before="80" w:after="80"/>
      </w:pPr>
    </w:p>
    <w:p>
      <w:pPr>
        <w:pStyle w:val="Heading2"/>
        <w:spacing w:before="280" w:after="120"/>
      </w:pPr>
      <w:r>
        <w:rPr>
          <w:rFonts w:ascii="Arial" w:cs="Arial" w:eastAsia="Arial" w:hAnsi="Arial"/>
          <w:b/>
          <w:bCs/>
          <w:color w:val="2E7D32"/>
          <w:sz w:val="26"/>
          <w:szCs w:val="26"/>
        </w:rPr>
        <w:t xml:space="preserve">3.6 ESP32_NODE</w:t>
      </w:r>
    </w:p>
    <w:p>
      <w:pPr>
        <w:spacing w:before="60" w:after="120"/>
        <w:jc w:val="both"/>
      </w:pPr>
      <w:r>
        <w:rPr>
          <w:rFonts w:ascii="Arial" w:cs="Arial" w:eastAsia="Arial" w:hAnsi="Arial"/>
          <w:sz w:val="22"/>
          <w:szCs w:val="22"/>
        </w:rPr>
        <w:t xml:space="preserve">Registro de cada microcontrolador ESP32 instalado en una sucursal. El sistema actualiza last_heartbeat_at cada vez que recibe el ping periódico del nodo. Si el tiempo transcurrido supera el umbral configurado, is_online se marca false y se dispara una alerta de tipo offline_node (S06).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nodo ESP32</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donde está instalado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mac_address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Dirección MAC — identifica el dispositivo físico en la red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firmware_version</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Versión del firmware C/ESP-IDF instalado S05</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last_heartbeat_at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Último ping recibido — detecta nodos caídos S06</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is_online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actual de conexión del nodo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wifi_rssi</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Potencia de señal WiFi — diagnóstico de conectividad</w:t>
            </w:r>
          </w:p>
        </w:tc>
      </w:tr>
    </w:tbl>
    <w:p>
      <w:pPr>
        <w:spacing w:before="80" w:after="80"/>
      </w:pPr>
    </w:p>
    <w:p>
      <w:pPr>
        <w:pStyle w:val="Heading2"/>
        <w:spacing w:before="280" w:after="120"/>
      </w:pPr>
      <w:r>
        <w:rPr>
          <w:rFonts w:ascii="Arial" w:cs="Arial" w:eastAsia="Arial" w:hAnsi="Arial"/>
          <w:b/>
          <w:bCs/>
          <w:color w:val="2E7D32"/>
          <w:sz w:val="26"/>
          <w:szCs w:val="26"/>
        </w:rPr>
        <w:t xml:space="preserve">3.7 STORE_HOURS</w:t>
      </w:r>
    </w:p>
    <w:p>
      <w:pPr>
        <w:spacing w:before="60" w:after="120"/>
        <w:jc w:val="both"/>
      </w:pPr>
      <w:r>
        <w:rPr>
          <w:rFonts w:ascii="Arial" w:cs="Arial" w:eastAsia="Arial" w:hAnsi="Arial"/>
          <w:sz w:val="22"/>
          <w:szCs w:val="22"/>
        </w:rPr>
        <w:t xml:space="preserve">Horarios de operación de cada sucursal por día de la semana. El Edge Service consulta estos registros para determinar si una variación de peso ocurre fuera del horario normal, condición necesaria para F07.1 (detección de robo fuera de horario).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a la que aplica el horario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day_of_week</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int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Día de la semana (0=lunes … 6=domingo)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open_time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Hora de apertura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close_time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Hora de cierre — referencia para detectar retiros fuera de horario F07.1</w:t>
            </w:r>
          </w:p>
        </w:tc>
      </w:tr>
    </w:tbl>
    <w:p>
      <w:pPr>
        <w:spacing w:before="80" w:after="80"/>
      </w:pPr>
    </w:p>
    <w:p>
      <w:pPr>
        <w:pStyle w:val="Heading2"/>
        <w:spacing w:before="280" w:after="120"/>
      </w:pPr>
      <w:r>
        <w:rPr>
          <w:rFonts w:ascii="Arial" w:cs="Arial" w:eastAsia="Arial" w:hAnsi="Arial"/>
          <w:b/>
          <w:bCs/>
          <w:color w:val="2E7D32"/>
          <w:sz w:val="26"/>
          <w:szCs w:val="26"/>
        </w:rPr>
        <w:t xml:space="preserve">3.8 SHELF</w:t>
      </w:r>
    </w:p>
    <w:p>
      <w:pPr>
        <w:spacing w:before="60" w:after="120"/>
        <w:jc w:val="both"/>
      </w:pPr>
      <w:r>
        <w:rPr>
          <w:rFonts w:ascii="Arial" w:cs="Arial" w:eastAsia="Arial" w:hAnsi="Arial"/>
          <w:sz w:val="22"/>
          <w:szCs w:val="22"/>
        </w:rPr>
        <w:t xml:space="preserve">Tabla central del modelo operativo. Vincula el hardware (ESP32, canal HX711) con el producto asignado y la sucursal. Almacena la configuración de calibración (tara y factor de escala F11), los umbrales de stock bajo (F05) y el modo de respuesta ante stock bajo (F06).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estante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donde está ubicado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product_id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Producto asignado — un solo tipo por estante U04</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esp32_node_id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Nodo ESP32 que lo monitorea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name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Nombre descriptivo (ej. Estante A3)</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hx711_channel</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Canal del HX711 (0–4) — soporta hasta 5 estantes por ESP32 F02</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tare_weight_grams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del estante vacío — tara F11</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scale_factor</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Factor de calibración del HX711 F11</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max_capacity_grams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Capacidad máxima del estante en gramos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low_stock_threshold_pct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Umbral de stock bajo en porcentaje F05</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low_stock_threshold_kg</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Umbral de stock bajo en kilogramos F05</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alert_mode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Modo de alerta: auto (auto-pedido) / manual (notificación) F06</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last_calibrated_at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Última vez que se calibró desde la app F11</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is_active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Indica si el estante está en operación</w:t>
            </w:r>
          </w:p>
        </w:tc>
      </w:tr>
    </w:tbl>
    <w:p>
      <w:pPr>
        <w:spacing w:before="80" w:after="80"/>
      </w:pPr>
    </w:p>
    <w:p>
      <w:pPr>
        <w:pStyle w:val="Heading2"/>
        <w:spacing w:before="280" w:after="120"/>
      </w:pPr>
      <w:r>
        <w:rPr>
          <w:rFonts w:ascii="Arial" w:cs="Arial" w:eastAsia="Arial" w:hAnsi="Arial"/>
          <w:b/>
          <w:bCs/>
          <w:color w:val="2E7D32"/>
          <w:sz w:val="26"/>
          <w:szCs w:val="26"/>
        </w:rPr>
        <w:t xml:space="preserve">3.9 WEIGHT_READING</w:t>
      </w:r>
    </w:p>
    <w:p>
      <w:pPr>
        <w:spacing w:before="60" w:after="120"/>
        <w:jc w:val="both"/>
      </w:pPr>
      <w:r>
        <w:rPr>
          <w:rFonts w:ascii="Arial" w:cs="Arial" w:eastAsia="Arial" w:hAnsi="Arial"/>
          <w:sz w:val="22"/>
          <w:szCs w:val="22"/>
        </w:rPr>
        <w:t xml:space="preserve">Registro de cada lectura de peso recibida desde la Raspberry Pi. Los registros de esta tabla son la fuente primaria que se ingesta también en InfluxDB Cloud para análisis de series de tiempo. raw_weight_grams es el valor bruto del sensor; net_weight_grams ya tiene descontada la tara configurada en SHELF.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lectura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que generó la lectura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raw_weight_grams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bruto reportado por el HX711 antes de filtrado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net_weight_grams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neto después de restar la tara F11</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recorded_at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 preciso de la lectura — almacenado en InfluxDB para series de tiempo</w:t>
            </w:r>
          </w:p>
        </w:tc>
      </w:tr>
    </w:tbl>
    <w:p>
      <w:pPr>
        <w:spacing w:before="80" w:after="80"/>
      </w:pPr>
    </w:p>
    <w:p>
      <w:pPr>
        <w:pStyle w:val="Heading2"/>
        <w:spacing w:before="280" w:after="120"/>
      </w:pPr>
      <w:r>
        <w:rPr>
          <w:rFonts w:ascii="Arial" w:cs="Arial" w:eastAsia="Arial" w:hAnsi="Arial"/>
          <w:b/>
          <w:bCs/>
          <w:color w:val="2E7D32"/>
          <w:sz w:val="26"/>
          <w:szCs w:val="26"/>
        </w:rPr>
        <w:t xml:space="preserve">3.10 STOCK_EVENT</w:t>
      </w:r>
    </w:p>
    <w:p>
      <w:pPr>
        <w:spacing w:before="60" w:after="120"/>
        <w:jc w:val="both"/>
      </w:pPr>
      <w:r>
        <w:rPr>
          <w:rFonts w:ascii="Arial" w:cs="Arial" w:eastAsia="Arial" w:hAnsi="Arial"/>
          <w:sz w:val="22"/>
          <w:szCs w:val="22"/>
        </w:rPr>
        <w:t xml:space="preserve">Eventos consolidados de cambio de inventario. A diferencia de WEIGHT_READING (que registra cada lectura), STOCK_EVENT solo se crea cuando el Edge Service confirma un retiro definitivo (is_consolidated = true) tras el período de debounce (F12). units_delta se calcula dividiendo weight_delta_grams entre unit_weight_grams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evento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donde ocurrió</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event_type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Tipo: withdrawal (retiro) / restock (surtido) / adjustment (ajuste)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weight_delta_grams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Cambio de peso en gramos (negativo = retiro)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units_delta</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Unidades equivalentes calculadas con unit_weight_grams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weight_before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del estante antes del evento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weight_after</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del estante después del evento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occurred_at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del evento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is_consolidated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true = retiro definitivo confirmado (debounce F12)</w:t>
            </w:r>
          </w:p>
        </w:tc>
      </w:tr>
    </w:tbl>
    <w:p>
      <w:pPr>
        <w:spacing w:before="80" w:after="80"/>
      </w:pPr>
    </w:p>
    <w:p>
      <w:pPr>
        <w:pStyle w:val="Heading2"/>
        <w:spacing w:before="280" w:after="120"/>
      </w:pPr>
      <w:r>
        <w:rPr>
          <w:rFonts w:ascii="Arial" w:cs="Arial" w:eastAsia="Arial" w:hAnsi="Arial"/>
          <w:b/>
          <w:bCs/>
          <w:color w:val="2E7D32"/>
          <w:sz w:val="26"/>
          <w:szCs w:val="26"/>
        </w:rPr>
        <w:t xml:space="preserve">3.11 ALERT</w:t>
      </w:r>
    </w:p>
    <w:p>
      <w:pPr>
        <w:spacing w:before="60" w:after="120"/>
        <w:jc w:val="both"/>
      </w:pPr>
      <w:r>
        <w:rPr>
          <w:rFonts w:ascii="Arial" w:cs="Arial" w:eastAsia="Arial" w:hAnsi="Arial"/>
          <w:sz w:val="22"/>
          <w:szCs w:val="22"/>
        </w:rPr>
        <w:t xml:space="preserve">Alertas activas del sistema. Cubre todos los tipos de alerta: stock bajo (F06), anomalía de robo (F07.1), nodo desconectado (S06), discrepancia de proveedor (F13) y peso desconocido en estante (F14). El campo metadata en JSONB almacena datos específicos del tipo de alerta sin requerir columnas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alerta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que la originó</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afectada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alert_type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Tipo: low_stock / anomaly / offline_node / supplier_discrepancy / unknown_weight</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active / resolved / dismissed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metadata</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jsonb</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Datos adicionales según el tipo (ej. unidades actuales, velocidad de retiro)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triggered_at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en que se disparó la alerta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resolved_at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en que fue resuelta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resolved_by</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Usuario que resolvió la alerta U08</w:t>
            </w:r>
          </w:p>
        </w:tc>
      </w:tr>
    </w:tbl>
    <w:p>
      <w:pPr>
        <w:spacing w:before="80" w:after="80"/>
      </w:pPr>
    </w:p>
    <w:p>
      <w:pPr>
        <w:pStyle w:val="Heading2"/>
        <w:spacing w:before="280" w:after="120"/>
      </w:pPr>
      <w:r>
        <w:rPr>
          <w:rFonts w:ascii="Arial" w:cs="Arial" w:eastAsia="Arial" w:hAnsi="Arial"/>
          <w:b/>
          <w:bCs/>
          <w:color w:val="2E7D32"/>
          <w:sz w:val="26"/>
          <w:szCs w:val="26"/>
        </w:rPr>
        <w:t xml:space="preserve">3.12 ANOMALY_EVENT</w:t>
      </w:r>
    </w:p>
    <w:p>
      <w:pPr>
        <w:spacing w:before="60" w:after="120"/>
        <w:jc w:val="both"/>
      </w:pPr>
      <w:r>
        <w:rPr>
          <w:rFonts w:ascii="Arial" w:cs="Arial" w:eastAsia="Arial" w:hAnsi="Arial"/>
          <w:sz w:val="22"/>
          <w:szCs w:val="22"/>
        </w:rPr>
        <w:t xml:space="preserve">Detalle de eventos anómalos detectados por el sistema. Se distinguen dos tipos: excessive_rate (velocidad de retiro inusualmente alta) y out_of_hours (retiro fuera del horario registrado en STORE_HOURS). La trazabilidad temporal de estos eventos permite al dueño revisar las cámaras de seguridad con timestamps exactos (F07.3).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donde se detectó</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anomaly_type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Tipo: excessive_rate (velocidad) / out_of_hours (fuera de horario) F07.1</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weight_delta_grams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Volumen de peso involucrado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rate_per_minute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Velocidad de retiro en gramos por minuto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out_of_hours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true si ocurrió fuera del horario de tienda F07.1</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pending / confirmed / dismissed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detected_at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 detección</w:t>
            </w:r>
          </w:p>
        </w:tc>
      </w:tr>
    </w:tbl>
    <w:p>
      <w:pPr>
        <w:spacing w:before="80" w:after="80"/>
      </w:pPr>
    </w:p>
    <w:p>
      <w:pPr>
        <w:pStyle w:val="Heading2"/>
        <w:spacing w:before="280" w:after="120"/>
      </w:pPr>
      <w:r>
        <w:rPr>
          <w:rFonts w:ascii="Arial" w:cs="Arial" w:eastAsia="Arial" w:hAnsi="Arial"/>
          <w:b/>
          <w:bCs/>
          <w:color w:val="2E7D32"/>
          <w:sz w:val="26"/>
          <w:szCs w:val="26"/>
        </w:rPr>
        <w:t xml:space="preserve">3.13 INVENTORY_AUDIT</w:t>
      </w:r>
    </w:p>
    <w:p>
      <w:pPr>
        <w:spacing w:before="60" w:after="120"/>
        <w:jc w:val="both"/>
      </w:pPr>
      <w:r>
        <w:rPr>
          <w:rFonts w:ascii="Arial" w:cs="Arial" w:eastAsia="Arial" w:hAnsi="Arial"/>
          <w:sz w:val="22"/>
          <w:szCs w:val="22"/>
        </w:rPr>
        <w:t xml:space="preserve">Corte de inventario por sucursal y período. Solo usuarios con rol manager u owner pueden crear y cerrar auditorías (U08). Cada auditoría contiene múltiples líneas en AUDIT_LINE, una por estante auditado.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auditoría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auditada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created_by</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Usuario que abrió la auditoría (requiere rol admin/manager) U08</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period_start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Inicio del período auditado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period_end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Fin del período auditado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open / closed</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closed_at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 cierre del corte</w:t>
            </w:r>
          </w:p>
        </w:tc>
      </w:tr>
    </w:tbl>
    <w:p>
      <w:pPr>
        <w:spacing w:before="80" w:after="80"/>
      </w:pPr>
    </w:p>
    <w:p>
      <w:pPr>
        <w:pStyle w:val="Heading2"/>
        <w:spacing w:before="280" w:after="120"/>
      </w:pPr>
      <w:r>
        <w:rPr>
          <w:rFonts w:ascii="Arial" w:cs="Arial" w:eastAsia="Arial" w:hAnsi="Arial"/>
          <w:b/>
          <w:bCs/>
          <w:color w:val="2E7D32"/>
          <w:sz w:val="26"/>
          <w:szCs w:val="26"/>
        </w:rPr>
        <w:t xml:space="preserve">3.14 AUDIT_LINE</w:t>
      </w:r>
    </w:p>
    <w:p>
      <w:pPr>
        <w:spacing w:before="60" w:after="120"/>
        <w:jc w:val="both"/>
      </w:pPr>
      <w:r>
        <w:rPr>
          <w:rFonts w:ascii="Arial" w:cs="Arial" w:eastAsia="Arial" w:hAnsi="Arial"/>
          <w:sz w:val="22"/>
          <w:szCs w:val="22"/>
        </w:rPr>
        <w:t xml:space="preserve">Línea detallada de la auditoría por estante. Compara las unidades que el sensor reportó como retiradas (sensor_units_out) contra las unidades cobradas en caja (pos_units_sold). La diferencia (discrepancy_units) es clasificada manualmente por el administrador según su naturaleza (F07.2).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 la línea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audit_id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Auditoría a la que pertenece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auditado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sensor_units_out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Unidades retiradas según el sensor F07.2</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pos_units_sold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Unidades cobradas en caja (ingreso manual)</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discrepancy_units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Diferencia: sensor_units_out - pos_units_sold</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resolution_type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Clasificación: confirmed_loss / expired / cashier_error / none F07.2</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resolved_by</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Usuario que clasificó la discrepancia U08</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resolved_at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 resolución</w:t>
            </w:r>
          </w:p>
        </w:tc>
      </w:tr>
    </w:tbl>
    <w:p>
      <w:pPr>
        <w:spacing w:before="80" w:after="80"/>
      </w:pPr>
    </w:p>
    <w:p>
      <w:pPr>
        <w:pStyle w:val="Heading2"/>
        <w:spacing w:before="280" w:after="120"/>
      </w:pPr>
      <w:r>
        <w:rPr>
          <w:rFonts w:ascii="Arial" w:cs="Arial" w:eastAsia="Arial" w:hAnsi="Arial"/>
          <w:b/>
          <w:bCs/>
          <w:color w:val="2E7D32"/>
          <w:sz w:val="26"/>
          <w:szCs w:val="26"/>
        </w:rPr>
        <w:t xml:space="preserve">3.15 PURCHASE_ORDER</w:t>
      </w:r>
    </w:p>
    <w:p>
      <w:pPr>
        <w:spacing w:before="60" w:after="120"/>
        <w:jc w:val="both"/>
      </w:pPr>
      <w:r>
        <w:rPr>
          <w:rFonts w:ascii="Arial" w:cs="Arial" w:eastAsia="Arial" w:hAnsi="Arial"/>
          <w:sz w:val="22"/>
          <w:szCs w:val="22"/>
        </w:rPr>
        <w:t xml:space="preserve">Pedidos generados al detectar stock bajo. En modo automático (trigger_type = automatic), el Worker crea el registro y notifica al proveedor por el canal configurado. En modo manual, solo crea el registro y notifica al dueño para que él decida (F06). La implementación actual no requiere acceso a APIs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pedido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que originó el pedido por stock bajo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supplier_id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Proveedor al que va dirigido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trigger_type</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Origen: automatic (auto-stock) / manual (iniciado por el dueño) F06</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quantity_kg</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Cantidad solicitada en kilogramos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pending / sent / confirmed / cancelled</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 creación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sent_at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en que se envió la notificación al proveedor</w:t>
            </w:r>
          </w:p>
        </w:tc>
      </w:tr>
    </w:tbl>
    <w:p>
      <w:pPr>
        <w:spacing w:before="80" w:after="80"/>
      </w:pPr>
    </w:p>
    <w:p>
      <w:pPr>
        <w:pStyle w:val="Heading2"/>
        <w:spacing w:before="280" w:after="120"/>
      </w:pPr>
      <w:r>
        <w:rPr>
          <w:rFonts w:ascii="Arial" w:cs="Arial" w:eastAsia="Arial" w:hAnsi="Arial"/>
          <w:b/>
          <w:bCs/>
          <w:color w:val="2E7D32"/>
          <w:sz w:val="26"/>
          <w:szCs w:val="26"/>
        </w:rPr>
        <w:t xml:space="preserve">3.16 SUPPLIER_RECEIPT</w:t>
      </w:r>
    </w:p>
    <w:p>
      <w:pPr>
        <w:spacing w:before="60" w:after="120"/>
        <w:jc w:val="both"/>
      </w:pPr>
      <w:r>
        <w:rPr>
          <w:rFonts w:ascii="Arial" w:cs="Arial" w:eastAsia="Arial" w:hAnsi="Arial"/>
          <w:sz w:val="22"/>
          <w:szCs w:val="22"/>
        </w:rPr>
        <w:t xml:space="preserve">Registro del Modo Surtido (F13). Cuando llega un proveedor, el empleado activa este modo en la app. El sistema mide el peso total añadido al estante y lo compara contra lo declarado. Si discrepancy_grams supera el umbral, se genera una alerta de tipo supplier_discrepancy antes de que el repartidor se retire.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recibo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shelf_id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Estante donde se recibió la mercancía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created_by</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Empleado que activó el Modo Surtido F13</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declared_weight_grams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declarado en la factura o por el repartidor</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measured_weight_grams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Peso real medido por el sensor</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discrepancy_grams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Diferencia entre lo declarado y lo medido F13</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ok / discrepancy_reported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received_at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de recepción</w:t>
            </w:r>
          </w:p>
        </w:tc>
      </w:tr>
    </w:tbl>
    <w:p>
      <w:pPr>
        <w:spacing w:before="80" w:after="80"/>
      </w:pPr>
    </w:p>
    <w:p>
      <w:pPr>
        <w:pStyle w:val="Heading2"/>
        <w:spacing w:before="280" w:after="120"/>
      </w:pPr>
      <w:r>
        <w:rPr>
          <w:rFonts w:ascii="Arial" w:cs="Arial" w:eastAsia="Arial" w:hAnsi="Arial"/>
          <w:b/>
          <w:bCs/>
          <w:color w:val="2E7D32"/>
          <w:sz w:val="26"/>
          <w:szCs w:val="26"/>
        </w:rPr>
        <w:t xml:space="preserve">3.17 BUSINESS_REPORT</w:t>
      </w:r>
    </w:p>
    <w:p>
      <w:pPr>
        <w:spacing w:before="60" w:after="120"/>
        <w:jc w:val="both"/>
      </w:pPr>
      <w:r>
        <w:rPr>
          <w:rFonts w:ascii="Arial" w:cs="Arial" w:eastAsia="Arial" w:hAnsi="Arial"/>
          <w:sz w:val="22"/>
          <w:szCs w:val="22"/>
        </w:rPr>
        <w:t xml:space="preserve">Metadatos de los reportes periódicos generados por el Worker Celery (F10). El campo payload JSONB contiene el contenido completo del reporte: KPIs del período, top de ventas, alertas acumuladas y sugerencias generadas por el LLM. El archivo físico (PDF o Excel) se almacena en Supabase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reporte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del reporte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report_type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Tipo: weekly / monthly / quarterly / annual F10</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period_start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Inicio del período cubierto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period_end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Fin del período cubierto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payload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jsonb</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Contenido del reporte: KPIs, top ventas, alertas acumuladas, sugerencias IA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format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Formato generado: pdf / excel</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generating / ready / failed</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generated_at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en que el Worker terminó de generarlo</w:t>
            </w:r>
          </w:p>
        </w:tc>
      </w:tr>
    </w:tbl>
    <w:p>
      <w:pPr>
        <w:spacing w:before="80" w:after="80"/>
      </w:pPr>
    </w:p>
    <w:p>
      <w:pPr>
        <w:pStyle w:val="Heading2"/>
        <w:spacing w:before="280" w:after="120"/>
      </w:pPr>
      <w:r>
        <w:rPr>
          <w:rFonts w:ascii="Arial" w:cs="Arial" w:eastAsia="Arial" w:hAnsi="Arial"/>
          <w:b/>
          <w:bCs/>
          <w:color w:val="2E7D32"/>
          <w:sz w:val="26"/>
          <w:szCs w:val="26"/>
        </w:rPr>
        <w:t xml:space="preserve">3.18 SEASONAL_PATTERN</w:t>
      </w:r>
    </w:p>
    <w:p>
      <w:pPr>
        <w:spacing w:before="60" w:after="120"/>
        <w:jc w:val="both"/>
      </w:pPr>
      <w:r>
        <w:rPr>
          <w:rFonts w:ascii="Arial" w:cs="Arial" w:eastAsia="Arial" w:hAnsi="Arial"/>
          <w:sz w:val="22"/>
          <w:szCs w:val="22"/>
        </w:rPr>
        <w:t xml:space="preserve">Patrones de venta aprendidos por el Worker ML (F08). Se actualiza periódicamente con base en el historial de STOCK_EVENT e InfluxDB. avg_sales_units indica el promedio histórico de ventas para ese producto en esa semana y día específicos, permitiendo al sistema sugerir cantidades de pedido y detectar sobre-stock estacional.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product_id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Producto al que aplica el patrón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branch_id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Sucursal específica</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week_of_year</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Semana del año (1–52)</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day_of_week</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int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Día de la semana (0–6)</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avg_sales_units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Promedio de unidades vendidas en ese período F08</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confidence_score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float</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Confianza del modelo (0.0–1.0) según historial disponible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updated_at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Última actualización del patrón por el Worker ML</w:t>
            </w:r>
          </w:p>
        </w:tc>
      </w:tr>
    </w:tbl>
    <w:p>
      <w:pPr>
        <w:spacing w:before="80" w:after="80"/>
      </w:pPr>
    </w:p>
    <w:p>
      <w:pPr>
        <w:pStyle w:val="Heading2"/>
        <w:spacing w:before="280" w:after="120"/>
      </w:pPr>
      <w:r>
        <w:rPr>
          <w:rFonts w:ascii="Arial" w:cs="Arial" w:eastAsia="Arial" w:hAnsi="Arial"/>
          <w:b/>
          <w:bCs/>
          <w:color w:val="2E7D32"/>
          <w:sz w:val="26"/>
          <w:szCs w:val="26"/>
        </w:rPr>
        <w:t xml:space="preserve">3.19 ORGANIZATION_TOKEN</w:t>
      </w:r>
    </w:p>
    <w:p>
      <w:pPr>
        <w:spacing w:before="60" w:after="120"/>
        <w:jc w:val="both"/>
      </w:pPr>
      <w:r>
        <w:rPr>
          <w:rFonts w:ascii="Arial" w:cs="Arial" w:eastAsia="Arial" w:hAnsi="Arial"/>
          <w:sz w:val="22"/>
          <w:szCs w:val="22"/>
        </w:rPr>
        <w:t xml:space="preserve">Tokens de API para autenticar la Raspberry Pi hacia el backend FastAPI. Cada sucursal tiene su propio token. La API verifica este token en cada petición de sincronización de datos (POST /readings). El campo last_used_at permite detectar tokens inactivos o comprometidos.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 del token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propietaria</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token</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Token de API para autenticación de la Raspberry Pi hacia el backend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label</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Etiqueta descriptiva (ej. RPi Sucursal Norte)</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is_active</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boolean</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Indica si el token está habilitado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created_by</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Usuario que generó el token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creación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last_used_at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Último uso — ayuda a detectar tokens inactivos</w:t>
            </w:r>
          </w:p>
        </w:tc>
      </w:tr>
    </w:tbl>
    <w:p>
      <w:pPr>
        <w:spacing w:before="80" w:after="80"/>
      </w:pPr>
    </w:p>
    <w:p>
      <w:pPr>
        <w:pStyle w:val="Heading2"/>
        <w:spacing w:before="280" w:after="120"/>
      </w:pPr>
      <w:r>
        <w:rPr>
          <w:rFonts w:ascii="Arial" w:cs="Arial" w:eastAsia="Arial" w:hAnsi="Arial"/>
          <w:b/>
          <w:bCs/>
          <w:color w:val="2E7D32"/>
          <w:sz w:val="26"/>
          <w:szCs w:val="26"/>
        </w:rPr>
        <w:t xml:space="preserve">3.20 BRANCH_INVITATION</w:t>
      </w:r>
    </w:p>
    <w:p>
      <w:pPr>
        <w:spacing w:before="60" w:after="120"/>
        <w:jc w:val="both"/>
      </w:pPr>
      <w:r>
        <w:rPr>
          <w:rFonts w:ascii="Arial" w:cs="Arial" w:eastAsia="Arial" w:hAnsi="Arial"/>
          <w:sz w:val="22"/>
          <w:szCs w:val="22"/>
        </w:rPr>
        <w:t xml:space="preserve">Sistema de invitaciones para añadir usuarios a una organización. El dueño ingresa el email del nuevo empleado, el sistema genera un token único que se envía por email. Al hacer clic, el invitado crea su cuenta ya vinculada a la organización 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Campo</w:t>
            </w:r>
          </w:p>
        </w:tc>
        <w:tc>
          <w:tcPr>
            <w:tcW w:type="dxa" w:w="1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Tipo</w:t>
            </w:r>
          </w:p>
        </w:tc>
        <w:tc>
          <w:tcPr>
            <w:tcW w:type="dxa" w:w="8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Clave</w:t>
            </w:r>
          </w:p>
        </w:tc>
        <w:tc>
          <w:tcPr>
            <w:tcW w:type="dxa" w:w="43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Descripción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PK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Identificador único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organization_id</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Organización que hace la invitación</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invited_by</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uuid</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bCs/>
                <w:color w:val="000000"/>
                <w:sz w:val="18"/>
                <w:szCs w:val="18"/>
              </w:rPr>
              <w:t xml:space="preserve">FK</w:t>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Usuario que envió la invitación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token</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Token único enviado por email al invitado</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Correo del invitado</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status</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string</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Estado: pending / accepted / expired</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Courier New" w:cs="Courier New" w:eastAsia="Courier New" w:hAnsi="Courier New"/>
                <w:color w:val="B71C1C"/>
                <w:sz w:val="18"/>
                <w:szCs w:val="18"/>
              </w:rPr>
              <w:t xml:space="preserve">expires_at</w:t>
            </w:r>
          </w:p>
        </w:tc>
        <w:tc>
          <w:tcPr>
            <w:tcW w:type="dxa" w:w="1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Fecha de expiración del token</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Courier New" w:cs="Courier New" w:eastAsia="Courier New" w:hAnsi="Courier New"/>
                <w:color w:val="B71C1C"/>
                <w:sz w:val="18"/>
                <w:szCs w:val="18"/>
              </w:rPr>
              <w:t xml:space="preserve">used_at</w:t>
            </w:r>
          </w:p>
        </w:tc>
        <w:tc>
          <w:tcPr>
            <w:tcW w:type="dxa" w:w="1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timestamp</w:t>
            </w:r>
          </w:p>
        </w:tc>
        <w:tc>
          <w:tcPr>
            <w:tcW w:type="dxa" w:w="8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
            </w:r>
          </w:p>
        </w:tc>
        <w:tc>
          <w:tcPr>
            <w:tcW w:type="dxa" w:w="43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Momento en que el invitado aceptó</w:t>
            </w:r>
          </w:p>
        </w:tc>
      </w:tr>
    </w:tbl>
    <w:p>
      <w:pPr>
        <w:spacing w:before="80" w:after="80"/>
      </w:pPr>
    </w:p>
    <w:p>
      <w:pPr>
        <w:pBdr>
          <w:bottom w:val="single" w:color="C8E6C9" w:sz="4"/>
        </w:pBdr>
        <w:spacing w:before="120" w:after="120"/>
      </w:pPr>
    </w:p>
    <w:p>
      <w:pPr>
        <w:pStyle w:val="Heading1"/>
        <w:spacing w:before="400" w:after="160"/>
      </w:pPr>
      <w:r>
        <w:rPr>
          <w:rFonts w:ascii="Arial" w:cs="Arial" w:eastAsia="Arial" w:hAnsi="Arial"/>
          <w:b/>
          <w:bCs/>
          <w:color w:val="1B5E20"/>
          <w:sz w:val="32"/>
          <w:szCs w:val="32"/>
        </w:rPr>
        <w:t xml:space="preserve">4. Relaciones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c>
          <w:tcPr>
            <w:tcW w:type="dxa" w:w="26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Tabla origen</w:t>
            </w:r>
          </w:p>
        </w:tc>
        <w:tc>
          <w:tcPr>
            <w:tcW w:type="dxa" w:w="12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Cardinalidad</w:t>
            </w:r>
          </w:p>
        </w:tc>
        <w:tc>
          <w:tcPr>
            <w:tcW w:type="dxa" w:w="260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Tabla destino</w:t>
            </w:r>
          </w:p>
        </w:tc>
        <w:tc>
          <w:tcPr>
            <w:tcW w:type="dxa" w:w="2960"/>
            <w:tcBorders>
              <w:top w:val="single" w:color="BDBDBD" w:sz="1"/>
              <w:left w:val="single" w:color="BDBDBD" w:sz="1"/>
              <w:bottom w:val="single" w:color="BDBDBD" w:sz="1"/>
              <w:right w:val="single" w:color="BDBDBD" w:sz="1"/>
            </w:tcBorders>
            <w:shd w:fill="1B5E20" w:val="clear"/>
            <w:tcMar>
              <w:top w:type="dxa" w:w="70"/>
              <w:left w:type="dxa" w:w="100"/>
              <w:bottom w:type="dxa" w:w="70"/>
              <w:right w:type="dxa" w:w="100"/>
            </w:tcMar>
          </w:tcPr>
          <w:p>
            <w:r>
              <w:rPr>
                <w:rFonts w:ascii="Arial" w:cs="Arial" w:eastAsia="Arial" w:hAnsi="Arial"/>
                <w:b/>
                <w:bCs/>
                <w:color w:val="FFFFFF"/>
                <w:sz w:val="18"/>
                <w:szCs w:val="18"/>
              </w:rPr>
              <w:t xml:space="preserve">Significado</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ORGANIZATION</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1 → N</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BRANCH</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Una organización tiene varias sucursales</w:t>
            </w:r>
          </w:p>
        </w:tc>
      </w:tr>
      <w:tr>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ORGANIZATION</w:t>
            </w:r>
          </w:p>
        </w:tc>
        <w:tc>
          <w:tcPr>
            <w:tcW w:type="dxa" w:w="1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1 → N</w:t>
            </w:r>
          </w:p>
        </w:tc>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USER</w:t>
            </w:r>
          </w:p>
        </w:tc>
        <w:tc>
          <w:tcPr>
            <w:tcW w:type="dxa" w:w="29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Una organización tiene varios usuarios con diferentes roles</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BRANCH</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1 → N</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Una sucursal tiene múltiples estantes</w:t>
            </w:r>
          </w:p>
        </w:tc>
      </w:tr>
      <w:tr>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w:t>
            </w:r>
          </w:p>
        </w:tc>
        <w:tc>
          <w:tcPr>
            <w:tcW w:type="dxa" w:w="1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w:t>
            </w:r>
          </w:p>
        </w:tc>
        <w:tc>
          <w:tcPr>
            <w:tcW w:type="dxa" w:w="29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Cada estante tiene asignado un solo producto (U04)</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ESP32_NODE</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Hasta 5 estantes comparten un nodo ESP32 (F02)</w:t>
            </w:r>
          </w:p>
        </w:tc>
      </w:tr>
      <w:tr>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WEIGHT_READING</w:t>
            </w:r>
          </w:p>
        </w:tc>
        <w:tc>
          <w:tcPr>
            <w:tcW w:type="dxa" w:w="1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w:t>
            </w:r>
          </w:p>
        </w:tc>
        <w:tc>
          <w:tcPr>
            <w:tcW w:type="dxa" w:w="29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Cada lectura de sensor pertenece a un estante</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STOCK_EVENT</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Cada evento de inventario ocurre en un estante</w:t>
            </w:r>
          </w:p>
        </w:tc>
      </w:tr>
      <w:tr>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ALERT</w:t>
            </w:r>
          </w:p>
        </w:tc>
        <w:tc>
          <w:tcPr>
            <w:tcW w:type="dxa" w:w="1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SHELF + BRANCH</w:t>
            </w:r>
          </w:p>
        </w:tc>
        <w:tc>
          <w:tcPr>
            <w:tcW w:type="dxa" w:w="29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Una alerta referencia el estante y su sucursal</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INVENTORY_AUDIT</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1 → N</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AUDIT_LINE</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Una auditoría contiene una línea por estante</w:t>
            </w:r>
          </w:p>
        </w:tc>
      </w:tr>
      <w:tr>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PURCHASE_ORDER</w:t>
            </w:r>
          </w:p>
        </w:tc>
        <w:tc>
          <w:tcPr>
            <w:tcW w:type="dxa" w:w="12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SUPPLIER</w:t>
            </w:r>
          </w:p>
        </w:tc>
        <w:tc>
          <w:tcPr>
            <w:tcW w:type="dxa" w:w="2960"/>
            <w:tcBorders>
              <w:top w:val="single" w:color="BDBDBD" w:sz="1"/>
              <w:left w:val="single" w:color="BDBDBD" w:sz="1"/>
              <w:bottom w:val="single" w:color="BDBDBD" w:sz="1"/>
              <w:right w:val="single" w:color="BDBDBD" w:sz="1"/>
            </w:tcBorders>
            <w:shd w:fill="FFFFFF" w:val="clear"/>
            <w:tcMar>
              <w:top w:type="dxa" w:w="70"/>
              <w:left w:type="dxa" w:w="100"/>
              <w:bottom w:type="dxa" w:w="70"/>
              <w:right w:type="dxa" w:w="100"/>
            </w:tcMar>
          </w:tcPr>
          <w:p>
            <w:r>
              <w:rPr>
                <w:rFonts w:ascii="Arial" w:cs="Arial" w:eastAsia="Arial" w:hAnsi="Arial"/>
                <w:b w:val="false"/>
                <w:bCs w:val="false"/>
                <w:color w:val="212121"/>
                <w:sz w:val="18"/>
                <w:szCs w:val="18"/>
              </w:rPr>
              <w:t xml:space="preserve">Cada pedido va a un proveedor específico</w:t>
            </w:r>
          </w:p>
        </w:tc>
      </w:tr>
      <w:tr>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SEASONAL_PATTERN</w:t>
            </w:r>
          </w:p>
        </w:tc>
        <w:tc>
          <w:tcPr>
            <w:tcW w:type="dxa" w:w="12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N → 1</w:t>
            </w:r>
          </w:p>
        </w:tc>
        <w:tc>
          <w:tcPr>
            <w:tcW w:type="dxa" w:w="260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PRODUCT + BRANCH</w:t>
            </w:r>
          </w:p>
        </w:tc>
        <w:tc>
          <w:tcPr>
            <w:tcW w:type="dxa" w:w="2960"/>
            <w:tcBorders>
              <w:top w:val="single" w:color="BDBDBD" w:sz="1"/>
              <w:left w:val="single" w:color="BDBDBD" w:sz="1"/>
              <w:bottom w:val="single" w:color="BDBDBD" w:sz="1"/>
              <w:right w:val="single" w:color="BDBDBD" w:sz="1"/>
            </w:tcBorders>
            <w:shd w:fill="E8F5E9" w:val="clear"/>
            <w:tcMar>
              <w:top w:type="dxa" w:w="70"/>
              <w:left w:type="dxa" w:w="100"/>
              <w:bottom w:type="dxa" w:w="70"/>
              <w:right w:type="dxa" w:w="100"/>
            </w:tcMar>
          </w:tcPr>
          <w:p>
            <w:r>
              <w:rPr>
                <w:rFonts w:ascii="Arial" w:cs="Arial" w:eastAsia="Arial" w:hAnsi="Arial"/>
                <w:b w:val="false"/>
                <w:bCs w:val="false"/>
                <w:color w:val="212121"/>
                <w:sz w:val="18"/>
                <w:szCs w:val="18"/>
              </w:rPr>
              <w:t xml:space="preserve">Patrón específico por producto y sucursal</w:t>
            </w:r>
          </w:p>
        </w:tc>
      </w:tr>
    </w:tbl>
    <w:p>
      <w:pPr>
        <w:spacing w:before="80" w:after="80"/>
      </w:pPr>
    </w:p>
    <w:p>
      <w:pPr>
        <w:pBdr>
          <w:bottom w:val="single" w:color="C8E6C9" w:sz="4"/>
        </w:pBdr>
        <w:spacing w:before="120" w:after="120"/>
      </w:pPr>
    </w:p>
    <w:p>
      <w:pPr>
        <w:pStyle w:val="Heading1"/>
        <w:spacing w:before="400" w:after="160"/>
      </w:pPr>
      <w:r>
        <w:rPr>
          <w:rFonts w:ascii="Arial" w:cs="Arial" w:eastAsia="Arial" w:hAnsi="Arial"/>
          <w:b/>
          <w:bCs/>
          <w:color w:val="1B5E20"/>
          <w:sz w:val="32"/>
          <w:szCs w:val="32"/>
        </w:rPr>
        <w:t xml:space="preserve">5. Notas de Implementación</w:t>
      </w:r>
    </w:p>
    <w:p>
      <w:pPr>
        <w:pStyle w:val="Heading2"/>
        <w:spacing w:before="280" w:after="120"/>
      </w:pPr>
      <w:r>
        <w:rPr>
          <w:rFonts w:ascii="Arial" w:cs="Arial" w:eastAsia="Arial" w:hAnsi="Arial"/>
          <w:b/>
          <w:bCs/>
          <w:color w:val="2E7D32"/>
          <w:sz w:val="26"/>
          <w:szCs w:val="26"/>
        </w:rPr>
        <w:t xml:space="preserve">5.1 Supabase Auth y la tabla USER</w:t>
      </w:r>
    </w:p>
    <w:p>
      <w:pPr>
        <w:spacing w:before="60" w:after="120"/>
        <w:jc w:val="both"/>
      </w:pPr>
      <w:r>
        <w:rPr>
          <w:rFonts w:ascii="Arial" w:cs="Arial" w:eastAsia="Arial" w:hAnsi="Arial"/>
          <w:sz w:val="22"/>
          <w:szCs w:val="22"/>
        </w:rPr>
        <w:t xml:space="preserve">Supabase mantiene su propia tabla auth.users internamente. La tabla USER de RackIQ es complementaria: almacena datos de negocio que Auth no gestiona (rol, push_token). Cuando un usuario se registra, un trigger de PostgreSQL crea automáticamente el registro en USER con los datos básicos.</w:t>
      </w:r>
    </w:p>
    <w:p>
      <w:pPr>
        <w:pStyle w:val="Heading2"/>
        <w:spacing w:before="280" w:after="120"/>
      </w:pPr>
      <w:r>
        <w:rPr>
          <w:rFonts w:ascii="Arial" w:cs="Arial" w:eastAsia="Arial" w:hAnsi="Arial"/>
          <w:b/>
          <w:bCs/>
          <w:color w:val="2E7D32"/>
          <w:sz w:val="26"/>
          <w:szCs w:val="26"/>
        </w:rPr>
        <w:t xml:space="preserve">5.2 WEIGHT_READING vs InfluxDB</w:t>
      </w:r>
    </w:p>
    <w:p>
      <w:pPr>
        <w:spacing w:before="60" w:after="120"/>
        <w:jc w:val="both"/>
      </w:pPr>
      <w:r>
        <w:rPr>
          <w:rFonts w:ascii="Arial" w:cs="Arial" w:eastAsia="Arial" w:hAnsi="Arial"/>
          <w:sz w:val="22"/>
          <w:szCs w:val="22"/>
        </w:rPr>
        <w:t xml:space="preserve">Las lecturas de peso se almacenan en dos lugares. PostgreSQL (WEIGHT_READING) guarda las lecturas consolidadas que forman parte de STOCK_EVENTs. InfluxDB Cloud almacena todas las lecturas con alta frecuencia para análisis de series de tiempo, gráficas históricas y entrenamiento del modelo ML. Esta separación evita saturar PostgreSQL con datos de alta frecuencia.</w:t>
      </w:r>
    </w:p>
    <w:p>
      <w:pPr>
        <w:pStyle w:val="Heading2"/>
        <w:spacing w:before="280" w:after="120"/>
      </w:pPr>
      <w:r>
        <w:rPr>
          <w:rFonts w:ascii="Arial" w:cs="Arial" w:eastAsia="Arial" w:hAnsi="Arial"/>
          <w:b/>
          <w:bCs/>
          <w:color w:val="2E7D32"/>
          <w:sz w:val="26"/>
          <w:szCs w:val="26"/>
        </w:rPr>
        <w:t xml:space="preserve">5.3 JSONB en ALERT y BUSINESS_REPORT</w:t>
      </w:r>
    </w:p>
    <w:p>
      <w:pPr>
        <w:spacing w:before="60" w:after="120"/>
        <w:jc w:val="both"/>
      </w:pPr>
      <w:r>
        <w:rPr>
          <w:rFonts w:ascii="Arial" w:cs="Arial" w:eastAsia="Arial" w:hAnsi="Arial"/>
          <w:sz w:val="22"/>
          <w:szCs w:val="22"/>
        </w:rPr>
        <w:t xml:space="preserve">El campo metadata en ALERT y payload en BUSINESS_REPORT usan el tipo JSONB de PostgreSQL para almacenar datos variables sin crear columnas por cada tipo de alerta o sección de reporte. PostgreSQL permite indexar y consultar campos dentro del JSONB, manteniendo el rendimiento.</w:t>
      </w:r>
    </w:p>
    <w:p>
      <w:pPr>
        <w:pStyle w:val="Heading2"/>
        <w:spacing w:before="280" w:after="120"/>
      </w:pPr>
      <w:r>
        <w:rPr>
          <w:rFonts w:ascii="Arial" w:cs="Arial" w:eastAsia="Arial" w:hAnsi="Arial"/>
          <w:b/>
          <w:bCs/>
          <w:color w:val="2E7D32"/>
          <w:sz w:val="26"/>
          <w:szCs w:val="26"/>
        </w:rPr>
        <w:t xml:space="preserve">5.4 Row Level Security (RLS)</w:t>
      </w:r>
    </w:p>
    <w:p>
      <w:pPr>
        <w:spacing w:before="60" w:after="120"/>
        <w:jc w:val="both"/>
      </w:pPr>
      <w:r>
        <w:rPr>
          <w:rFonts w:ascii="Arial" w:cs="Arial" w:eastAsia="Arial" w:hAnsi="Arial"/>
          <w:sz w:val="22"/>
          <w:szCs w:val="22"/>
        </w:rPr>
        <w:t xml:space="preserve">Supabase aplica Row Level Security en todas las tablas. Cada política garantiza que un usuario solo pueda ver y modificar datos de su propia organización. Esto implementa el modelo multi-tenant a nivel de base de datos, independientemente de la lógica de la API.</w:t>
      </w:r>
    </w:p>
    <w:p>
      <w:pPr>
        <w:spacing w:before="80" w:after="80"/>
      </w:pPr>
    </w:p>
    <w:p>
      <w:pPr>
        <w:spacing w:before="80" w:after="80"/>
      </w:pPr>
    </w:p>
    <w:p>
      <w:pPr>
        <w:spacing w:before="400"/>
        <w:jc w:val="center"/>
      </w:pPr>
      <w:r>
        <w:rPr>
          <w:rFonts w:ascii="Arial" w:cs="Arial" w:eastAsia="Arial" w:hAnsi="Arial"/>
          <w:i/>
          <w:iCs/>
          <w:color w:val="546E7A"/>
          <w:sz w:val="20"/>
          <w:szCs w:val="20"/>
        </w:rPr>
        <w:t xml:space="preserve">Fin del documento</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pBdr>
      <w:tabs>
        <w:tab w:val="right" w:pos="9026"/>
      </w:tabs>
      <w:spacing w:before="100"/>
    </w:pPr>
    <w:r>
      <w:rPr>
        <w:rFonts w:ascii="Arial" w:cs="Arial" w:eastAsia="Arial" w:hAnsi="Arial"/>
        <w:color w:val="546E7A"/>
        <w:sz w:val="16"/>
        <w:szCs w:val="16"/>
      </w:rPr>
      <w:t xml:space="preserve">Universidad Autónoma de Baja California — Proyecto de Carrera 2025</w:t>
    </w:r>
    <w:r>
      <w:rPr>
        <w:sz w:val="16"/>
        <w:szCs w:val="16"/>
      </w:rPr>
      <w:t xml:space="preserv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4"/>
      </w:pBdr>
      <w:tabs>
        <w:tab w:val="right" w:pos="9026"/>
      </w:tabs>
      <w:spacing w:after="100"/>
    </w:pPr>
    <w:r>
      <w:rPr>
        <w:rFonts w:ascii="Arial" w:cs="Arial" w:eastAsia="Arial" w:hAnsi="Arial"/>
        <w:color w:val="546E7A"/>
        <w:sz w:val="18"/>
        <w:szCs w:val="18"/>
      </w:rPr>
      <w:t xml:space="preserve">RackIQ — Documentación de Base de Datos</w:t>
    </w:r>
    <w:r>
      <w:rPr>
        <w:sz w:val="18"/>
        <w:szCs w:val="18"/>
      </w:rPr>
      <w:t xml:space="preserve">	</w:t>
    </w:r>
    <w:r>
      <w:rPr>
        <w:rFonts w:ascii="Arial" w:cs="Arial" w:eastAsia="Arial" w:hAnsi="Arial"/>
        <w:b/>
        <w:bCs/>
        <w:color w:val="2E7D32"/>
        <w:sz w:val="18"/>
        <w:szCs w:val="18"/>
      </w:rPr>
      <w:t xml:space="preserve">Supabase · PostgreSQL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5E2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2026-04-03T03:33:36.253Z</dcterms:created>
  <dcterms:modified xsi:type="dcterms:W3CDTF">2026-04-03T03:33:36.254Z</dcterms:modified>
</cp:coreProperties>
</file>

<file path=docProps/custom.xml><?xml version="1.0" encoding="utf-8"?>
<Properties xmlns="http://schemas.openxmlformats.org/officeDocument/2006/custom-properties" xmlns:vt="http://schemas.openxmlformats.org/officeDocument/2006/docPropsVTypes"/>
</file>