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</w:pPr>
      <w:r>
        <w:t xml:space="preserve">Feature specification for </w:t>
      </w:r>
      <w:proofErr w:type="spellStart"/>
      <w:r>
        <w:t>SqlCeCmd</w:t>
      </w:r>
      <w:proofErr w:type="spellEnd"/>
      <w:r>
        <w:t xml:space="preserve"> utility. Version 1.0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Last updated March 10, 2009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>utility lets you enter SQL Compact Transact-SQL statements, and use script files at the command prompt or in a Windows script file. This utility uses the SQL Compact ADO.NET provider to execute Transact-SQL batches. Requires .NET Framework 2.0 and the SQL Compact runtime.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tl00_rs1_mainContentContainer_cpe108204_i" o:spid="_x0000_i1025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Syntax 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  <w:lang w:val="da-DK"/>
        </w:rPr>
      </w:pP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  <w:lang w:val="da-DK"/>
        </w:rPr>
      </w:pPr>
      <w:proofErr w:type="spellStart"/>
      <w:r>
        <w:rPr>
          <w:rFonts w:ascii="Consolas" w:hAnsi="Consolas" w:cs="Courier New"/>
          <w:b/>
          <w:color w:val="000000"/>
          <w:sz w:val="20"/>
          <w:szCs w:val="20"/>
          <w:lang w:val="da-DK"/>
        </w:rPr>
        <w:t>SqlCeCmd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  <w:lang w:val="da-DK"/>
        </w:rPr>
        <w:t xml:space="preserve"> 1.0.0.0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  <w:lang w:val="da-DK"/>
        </w:rPr>
      </w:pPr>
      <w:r>
        <w:rPr>
          <w:rFonts w:ascii="Consolas" w:hAnsi="Consolas" w:cs="Courier New"/>
          <w:b/>
          <w:color w:val="000000"/>
          <w:sz w:val="20"/>
          <w:szCs w:val="20"/>
          <w:lang w:val="da-DK"/>
        </w:rPr>
        <w:t>Copyright (C) 2009, 2009 Erik Ejlskov Jensen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Contact me at my blog: http://erikej.blogspot.com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Check for updates at: http://sqlcecmd.codeplex.com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d     Required. SQL Compact connection string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e     Run SQL Compact engine actions: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shrink|compact|create|upgrade|repairdelete|repairrecover</w:t>
      </w:r>
      <w:proofErr w:type="spellEnd"/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z     Change database options: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Password,Encryption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Mode,Locale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Id,Case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Sensitivity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q     Command line query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    SQL query input file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o     Output file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v     Display database information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R     Use client regional settings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h     Headers - 0 to Int32.MaxValue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s     Column separator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W     Remove trailing spaces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x     Output SELECTs as XML</w:t>
      </w:r>
    </w:p>
    <w:p>
      <w:pPr>
        <w:spacing w:after="0" w:line="336" w:lineRule="auto"/>
        <w:textAlignment w:val="top"/>
        <w:rPr>
          <w:rFonts w:ascii="Verdana" w:hAnsi="Verdana"/>
          <w:noProof/>
          <w:color w:val="000000"/>
          <w:sz w:val="16"/>
          <w:szCs w:val="16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?     Display this help screen</w:t>
      </w:r>
    </w:p>
    <w:p>
      <w:pPr>
        <w:spacing w:after="0" w:line="336" w:lineRule="auto"/>
        <w:textAlignment w:val="top"/>
        <w:rPr>
          <w:rFonts w:ascii="Verdana" w:hAnsi="Verdana"/>
          <w:noProof/>
          <w:color w:val="000000"/>
          <w:sz w:val="16"/>
          <w:szCs w:val="16"/>
          <w:lang w:val="da-DK" w:eastAsia="da-DK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5_i" o:spid="_x0000_i1026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Command-line Options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-d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connection_string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SQL Compact connection string to be used. For connection string syntax, see http://msdn.microsoft.com/en-us/library/system.data.sqlserverce.sqlceconnection.connectionstring.aspx. This parameter is required.</w:t>
      </w:r>
    </w:p>
    <w:p>
      <w:pPr>
        <w:spacing w:after="0" w:line="336" w:lineRule="auto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color w:val="000000"/>
          <w:sz w:val="16"/>
          <w:szCs w:val="16"/>
        </w:rPr>
        <w:t>engine_command</w:t>
      </w:r>
      <w:proofErr w:type="spellEnd"/>
    </w:p>
    <w:p>
      <w:pPr>
        <w:spacing w:after="0" w:line="336" w:lineRule="auto"/>
        <w:ind w:firstLine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Runs the specified </w:t>
      </w:r>
      <w:proofErr w:type="spellStart"/>
      <w:r>
        <w:rPr>
          <w:rFonts w:ascii="Verdana" w:hAnsi="Verdana"/>
          <w:color w:val="000000"/>
          <w:sz w:val="16"/>
          <w:szCs w:val="16"/>
        </w:rPr>
        <w:t>SqlCeEngine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command against the database: Create, Upgrade, Shrink, Compact,  Repair. </w:t>
      </w:r>
    </w:p>
    <w:p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-z </w:t>
      </w:r>
      <w:r>
        <w:rPr>
          <w:rFonts w:ascii="Verdana" w:hAnsi="Verdana"/>
          <w:i/>
          <w:iCs/>
          <w:color w:val="000000"/>
          <w:sz w:val="16"/>
        </w:rPr>
        <w:t>database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Changes the database options. Specify connection string for new database options. Cannot be used with the </w:t>
      </w:r>
      <w:r>
        <w:rPr>
          <w:rFonts w:ascii="Verdana" w:hAnsi="Verdana"/>
          <w:b/>
          <w:bCs/>
          <w:color w:val="000000"/>
          <w:sz w:val="16"/>
        </w:rPr>
        <w:t>–q,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 The following tokens are valid:</w:t>
      </w:r>
      <w:r>
        <w:rPr>
          <w:rFonts w:ascii="Verdana" w:hAnsi="Verdana"/>
          <w:color w:val="000000"/>
          <w:sz w:val="16"/>
          <w:szCs w:val="16"/>
        </w:rPr>
        <w:br/>
        <w:t>- Password</w:t>
      </w:r>
      <w:r>
        <w:rPr>
          <w:rFonts w:ascii="Verdana" w:hAnsi="Verdana"/>
          <w:color w:val="000000"/>
          <w:sz w:val="16"/>
          <w:szCs w:val="16"/>
        </w:rPr>
        <w:br/>
        <w:t>- LCID</w:t>
      </w:r>
      <w:r>
        <w:rPr>
          <w:rFonts w:ascii="Verdana" w:hAnsi="Verdana"/>
          <w:color w:val="000000"/>
          <w:sz w:val="16"/>
          <w:szCs w:val="16"/>
        </w:rPr>
        <w:br/>
        <w:t>- Encryption mode</w:t>
      </w:r>
      <w:r>
        <w:rPr>
          <w:rFonts w:ascii="Verdana" w:hAnsi="Verdana"/>
          <w:color w:val="000000"/>
          <w:sz w:val="16"/>
          <w:szCs w:val="16"/>
        </w:rPr>
        <w:br/>
        <w:t>- Case Sensitive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All other </w:t>
      </w:r>
      <w:proofErr w:type="spellStart"/>
      <w:r>
        <w:rPr>
          <w:rFonts w:ascii="Verdana" w:hAnsi="Verdana"/>
          <w:color w:val="000000"/>
          <w:sz w:val="16"/>
          <w:szCs w:val="16"/>
        </w:rPr>
        <w:t>SqlCeConnection.ConnectionString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tokens are ignored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 xml:space="preserve">Sample usage: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sqlcecmd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–d "Data Source=C:\mydb.sdf" -z "Data Source=;Password=secret123;Case sensitive=true;"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Query Execution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00"/>
          <w:sz w:val="16"/>
        </w:rPr>
        <w:t xml:space="preserve">" </w:t>
      </w:r>
      <w:proofErr w:type="spellStart"/>
      <w:r>
        <w:rPr>
          <w:rFonts w:ascii="Verdana" w:hAnsi="Verdana"/>
          <w:i/>
          <w:iCs/>
          <w:color w:val="000000"/>
          <w:sz w:val="16"/>
        </w:rPr>
        <w:t>cmdline</w:t>
      </w:r>
      <w:proofErr w:type="spellEnd"/>
      <w:r>
        <w:rPr>
          <w:rFonts w:ascii="Verdana" w:hAnsi="Verdana"/>
          <w:i/>
          <w:iCs/>
          <w:color w:val="000000"/>
          <w:sz w:val="16"/>
        </w:rPr>
        <w:t xml:space="preserve"> query </w:t>
      </w:r>
      <w:r>
        <w:rPr>
          <w:rFonts w:ascii="Verdana" w:hAnsi="Verdana"/>
          <w:b/>
          <w:bCs/>
          <w:color w:val="000000"/>
          <w:sz w:val="16"/>
        </w:rPr>
        <w:t>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Executes a single query. 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Use quotation marks around the query, as shown in the following example.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At the command prompt, type: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sqlcecmd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-d "Data Source=c:\mydb.sdf" -q "SELECT </w:t>
      </w:r>
      <w:proofErr w:type="spellStart"/>
      <w:r>
        <w:rPr>
          <w:rFonts w:ascii="Courier New" w:hAnsi="Courier New" w:cs="Courier New"/>
          <w:color w:val="000000"/>
          <w:sz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FROM Contact WHERE </w:t>
      </w:r>
      <w:proofErr w:type="spellStart"/>
      <w:r>
        <w:rPr>
          <w:rFonts w:ascii="Courier New" w:hAnsi="Courier New" w:cs="Courier New"/>
          <w:color w:val="000000"/>
          <w:sz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LIKE '</w:t>
      </w:r>
      <w:proofErr w:type="spellStart"/>
      <w:r>
        <w:rPr>
          <w:rFonts w:ascii="Courier New" w:hAnsi="Courier New" w:cs="Courier New"/>
          <w:color w:val="000000"/>
          <w:sz w:val="20"/>
        </w:rPr>
        <w:t>Whi</w:t>
      </w:r>
      <w:proofErr w:type="spellEnd"/>
      <w:r>
        <w:rPr>
          <w:rFonts w:ascii="Courier New" w:hAnsi="Courier New" w:cs="Courier New"/>
          <w:color w:val="000000"/>
          <w:sz w:val="20"/>
        </w:rPr>
        <w:t>%'"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sqlcecmd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-d "Data Source=c:\mydb.sdf" -q "SELECT TOP 5 </w:t>
      </w:r>
      <w:proofErr w:type="spellStart"/>
      <w:r>
        <w:rPr>
          <w:rFonts w:ascii="Courier New" w:hAnsi="Courier New" w:cs="Courier New"/>
          <w:color w:val="000000"/>
          <w:sz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FROM Contact"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b/>
          <w:bCs/>
          <w:color w:val="000000"/>
          <w:sz w:val="16"/>
        </w:rPr>
        <w:t>Input/Output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input_file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contains a batch of SQL statements. Each statement in the file must be separated by the word "GO" on a line by itself.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 xml:space="preserve">will first check to see whether the specified file exists. If the file does not exist,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will exit. Cannot be used with the </w:t>
      </w:r>
      <w:r>
        <w:rPr>
          <w:rFonts w:ascii="Verdana" w:hAnsi="Verdana"/>
          <w:b/>
          <w:color w:val="000000"/>
          <w:sz w:val="16"/>
          <w:szCs w:val="16"/>
        </w:rPr>
        <w:t>–z</w:t>
      </w:r>
      <w:r>
        <w:rPr>
          <w:rFonts w:ascii="Verdana" w:hAnsi="Verdana"/>
          <w:color w:val="000000"/>
          <w:sz w:val="16"/>
          <w:szCs w:val="16"/>
        </w:rPr>
        <w:t xml:space="preserve">, </w:t>
      </w: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color w:val="000000"/>
          <w:sz w:val="16"/>
          <w:szCs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C:\&lt;filename&gt;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\\&lt;Server&gt;\&lt;Share$&gt;\&lt;filename&gt;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"C:\Some Folder\&lt;file name&gt;"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output_file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receives output from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>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hAnsi="Verdana"/>
          <w:i/>
          <w:iCs/>
          <w:color w:val="000000"/>
          <w:sz w:val="16"/>
        </w:rPr>
        <w:t>output_file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is always stored in Unicode format. If the file name is not valid, an error message is generated, and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exits. This file will be created if it does not exist. A file of the same name from a prior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session will be overwritten.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C:\&lt; 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\\&lt;Server&gt;\&lt;Share$&gt;\&lt;filename&gt;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 "</w:t>
      </w:r>
      <w:r>
        <w:rPr>
          <w:rFonts w:ascii="Verdana" w:hAnsi="Verdana"/>
          <w:color w:val="000000"/>
          <w:sz w:val="16"/>
          <w:szCs w:val="16"/>
        </w:rPr>
        <w:t>C:\Some Folder\&lt;file name&gt;"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-v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display database information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Displays the following database information as the first output: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Engine version, locale, encryption mode, case sensitivity, database size, creation date/time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-R </w:t>
      </w:r>
      <w:r>
        <w:rPr>
          <w:rFonts w:ascii="Verdana" w:hAnsi="Verdana"/>
          <w:i/>
          <w:iCs/>
          <w:color w:val="000000"/>
          <w:sz w:val="16"/>
        </w:rPr>
        <w:t>use client regional settings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Set the utility to use client regional settings when it converts currency, and date and time data to character data. The default is </w:t>
      </w:r>
      <w:proofErr w:type="spellStart"/>
      <w:r>
        <w:rPr>
          <w:rFonts w:ascii="Verdana" w:hAnsi="Verdana"/>
          <w:color w:val="000000"/>
          <w:sz w:val="16"/>
          <w:szCs w:val="16"/>
        </w:rPr>
        <w:t>InvariantCulture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settings.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 w:type="page"/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Formatting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-h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headers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Specifies the number of rows to print between the column headings. The default is to print headings one time for each set of query results. Use </w:t>
      </w:r>
      <w:r>
        <w:rPr>
          <w:rFonts w:ascii="Verdana" w:hAnsi="Verdana"/>
          <w:b/>
          <w:bCs/>
          <w:color w:val="000000"/>
          <w:sz w:val="16"/>
        </w:rPr>
        <w:t>0</w:t>
      </w:r>
      <w:r>
        <w:rPr>
          <w:rFonts w:ascii="Verdana" w:hAnsi="Verdana"/>
          <w:color w:val="000000"/>
          <w:sz w:val="16"/>
          <w:szCs w:val="16"/>
        </w:rPr>
        <w:t xml:space="preserve"> to specify that headers must not be printed. Any value that is not valid causes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to generate an error message and then exit.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col_separator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Specifies the column-separator character. The default is a blank space. To use characters that have special meaning to the operating system such as the ampersand (&amp;), or semicolon (;), enclose the character in quotation marks ("). The column separator can be any 8-bit character.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-W </w:t>
      </w:r>
      <w:r>
        <w:rPr>
          <w:rFonts w:ascii="Verdana" w:hAnsi="Verdana"/>
          <w:i/>
          <w:iCs/>
          <w:color w:val="000000"/>
          <w:sz w:val="16"/>
        </w:rPr>
        <w:t>remove trailing spaces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This option removes trailing spaces from a column. Use this option together with the </w:t>
      </w: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option when preparing data that is to be exported to another application. Cannot be used with the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-x </w:t>
      </w:r>
      <w:r>
        <w:rPr>
          <w:rFonts w:ascii="Verdana" w:hAnsi="Verdana"/>
          <w:i/>
          <w:iCs/>
          <w:color w:val="000000"/>
          <w:sz w:val="16"/>
        </w:rPr>
        <w:t>write SELECTs as XML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This option writes output from SELECTs as XML. This is useful in order to preserve the full contents of long columns, including </w:t>
      </w:r>
      <w:proofErr w:type="spellStart"/>
      <w:r>
        <w:rPr>
          <w:rFonts w:ascii="Verdana" w:hAnsi="Verdana"/>
          <w:color w:val="000000"/>
          <w:sz w:val="16"/>
          <w:szCs w:val="16"/>
        </w:rPr>
        <w:t>nvarchar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, </w:t>
      </w:r>
      <w:proofErr w:type="spellStart"/>
      <w:r>
        <w:rPr>
          <w:rFonts w:ascii="Verdana" w:hAnsi="Verdana"/>
          <w:color w:val="000000"/>
          <w:sz w:val="16"/>
          <w:szCs w:val="16"/>
        </w:rPr>
        <w:t>nchar</w:t>
      </w:r>
      <w:proofErr w:type="spellEnd"/>
      <w:r>
        <w:rPr>
          <w:rFonts w:ascii="Verdana" w:hAnsi="Verdana"/>
          <w:color w:val="000000"/>
          <w:sz w:val="16"/>
          <w:szCs w:val="16"/>
        </w:rPr>
        <w:t>, image and text.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Miscellaneous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-? </w:t>
      </w:r>
      <w:r>
        <w:rPr>
          <w:rFonts w:ascii="Verdana" w:hAnsi="Verdana"/>
          <w:i/>
          <w:iCs/>
          <w:color w:val="000000"/>
          <w:sz w:val="16"/>
        </w:rPr>
        <w:t>show syntax summary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Displays the syntax summary of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6_i" o:spid="_x0000_i1027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 Remarks 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Options do not have to be used in the order shown in the syntax section.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total length of the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command line in the command environment (Cmd.exe), including all arguments and expanded variables, is that which is determined by the operating system for Cmd.exe. </w:t>
      </w:r>
    </w:p>
    <w:sectPr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46C"/>
    <w:multiLevelType w:val="multilevel"/>
    <w:tmpl w:val="D3B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595D"/>
    <w:multiLevelType w:val="multilevel"/>
    <w:tmpl w:val="F9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567DAF"/>
    <w:multiLevelType w:val="multilevel"/>
    <w:tmpl w:val="D3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D45B4"/>
    <w:multiLevelType w:val="multilevel"/>
    <w:tmpl w:val="8D1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semiHidden/>
    <w:rPr>
      <w:rFonts w:cs="Times New Roman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29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756</Words>
  <Characters>4392</Characters>
  <Application>Microsoft Office Word</Application>
  <DocSecurity>0</DocSecurity>
  <Lines>36</Lines>
  <Paragraphs>10</Paragraphs>
  <ScaleCrop>false</ScaleCrop>
  <Company>Twins</Company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Ejlskov Jensen</dc:creator>
  <cp:keywords/>
  <dc:description/>
  <cp:lastModifiedBy>Erik Ejlskov Jensen</cp:lastModifiedBy>
  <cp:revision>49</cp:revision>
  <cp:lastPrinted>2009-02-16T10:13:00Z</cp:lastPrinted>
  <dcterms:created xsi:type="dcterms:W3CDTF">2009-02-16T17:53:00Z</dcterms:created>
  <dcterms:modified xsi:type="dcterms:W3CDTF">2009-03-24T09:50:00Z</dcterms:modified>
</cp:coreProperties>
</file>