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rFonts w:ascii="Lexend ExtraLight" w:cs="Lexend ExtraLight" w:eastAsia="Lexend ExtraLight" w:hAnsi="Lexend ExtraLight"/>
          <w:sz w:val="52"/>
          <w:szCs w:val="52"/>
        </w:rPr>
      </w:pPr>
      <w:bookmarkStart w:colFirst="0" w:colLast="0" w:name="_wnb02g8t05bv" w:id="0"/>
      <w:bookmarkEnd w:id="0"/>
      <w:r w:rsidDel="00000000" w:rsidR="00000000" w:rsidRPr="00000000">
        <w:rPr>
          <w:rFonts w:ascii="Lexend ExtraLight" w:cs="Lexend ExtraLight" w:eastAsia="Lexend ExtraLight" w:hAnsi="Lexend ExtraLight"/>
          <w:sz w:val="52"/>
          <w:szCs w:val="52"/>
          <w:rtl w:val="0"/>
        </w:rPr>
        <w:t xml:space="preserve">Hoja de estilos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Paleta de colores: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Lexend" w:cs="Lexend" w:eastAsia="Lexend" w:hAnsi="Lexend"/>
          <w:b w:val="1"/>
          <w:sz w:val="22"/>
          <w:szCs w:val="22"/>
        </w:rPr>
      </w:pPr>
      <w:bookmarkStart w:colFirst="0" w:colLast="0" w:name="_puszd1jwmowb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Estilo de  la fuente</w:t>
      </w: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b w:val="1"/>
          <w:sz w:val="22"/>
          <w:szCs w:val="22"/>
          <w:rtl w:val="0"/>
        </w:rPr>
        <w:t xml:space="preserve">Nirmala 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Lexend" w:cs="Lexend" w:eastAsia="Lexend" w:hAnsi="Lexend"/>
          <w:b w:val="1"/>
          <w:sz w:val="22"/>
          <w:szCs w:val="22"/>
        </w:rPr>
      </w:pPr>
      <w:bookmarkStart w:colFirst="0" w:colLast="0" w:name="_1c7g2n6xduqh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Tamaño títulos</w:t>
      </w: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28p</w:t>
        <w:tab/>
      </w:r>
      <w:r w:rsidDel="00000000" w:rsidR="00000000" w:rsidRPr="00000000">
        <w:rPr>
          <w:rFonts w:ascii="Lexend" w:cs="Lexend" w:eastAsia="Lexend" w:hAnsi="Lexend"/>
          <w:rtl w:val="0"/>
        </w:rPr>
        <w:t xml:space="preserve">Tamaño general</w:t>
      </w: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11p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iyvhdvjjt7c9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Espaciado entre párrafos: </w:t>
      </w: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2 intros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Fondo: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En blanco #FFFFF) y toques rosas (#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C77793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para encabezado y pie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rPr>
          <w:rFonts w:ascii="Lexend" w:cs="Lexend" w:eastAsia="Lexend" w:hAnsi="Lexend"/>
          <w:color w:val="434343"/>
        </w:rPr>
      </w:pPr>
      <w:bookmarkStart w:colFirst="0" w:colLast="0" w:name="_b4pucwga1mah" w:id="4"/>
      <w:bookmarkEnd w:id="4"/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Forma 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 nombrar variables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nombrar las variables se usará la notación CamelCase, en concreto la  UpperCamelCase, la que significa que la primera letra de  cada palabra empezará en mayúscula. Por ejemplo,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TipoJugador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sz w:val="28"/>
          <w:szCs w:val="28"/>
          <w:rtl w:val="0"/>
        </w:rPr>
        <w:t xml:space="preserve">Respecto a  las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El nombre de las vistas será igual a  la funcionalidad que estas tengan . En el caso que esta tenga que insertar personas , la ventana se llamará InsertarPersona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</w:rPr>
        <w:drawing>
          <wp:inline distB="114300" distT="114300" distL="114300" distR="114300">
            <wp:extent cx="1524000" cy="30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434343"/>
          <w:sz w:val="28"/>
          <w:szCs w:val="28"/>
          <w:rtl w:val="0"/>
        </w:rPr>
        <w:t xml:space="preserve">Espaciado entre variables,constructores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 intro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rPr>
          <w:rFonts w:ascii="Lexend" w:cs="Lexend" w:eastAsia="Lexend" w:hAnsi="Lexend"/>
        </w:rPr>
      </w:pPr>
      <w:bookmarkStart w:colFirst="0" w:colLast="0" w:name="_muq9f03psrq4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Forma  de  nombrar componentes de  las vistas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Buttons: Se pondrá “b” delante de  la funcionalidad del botón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bSalir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Textfields Se pondrá “tf” delante del identificador del field  :”tfNombre”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Formatted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Textfield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Se pondrá “ftf” delante del identificador 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ftfDNI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Radiobutton: Se pondrá “rd” delante de la funcionalidad del Radio . Por ejemplo, si se quiere hacer un conjunto que corresponde a  “Tipo de Jugador”  los radio se denominará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rdHabitual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 y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rdWildCard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CheckBox: Se denominará de  la misma forma que los Radiobuttons pero cambiando el “rd” por “cb”. Por ejemplo,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cbSueldo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Jmenu: Se pondrá “m” delante del identificador.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mOpcionesPrincipales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JmenuItem:Se pondrá “mi” delante del identificador.”miTipo”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Jmenubar:Se pondrá “mb” delante del identificador.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mbNombre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rPr>
          <w:rFonts w:ascii="Lexend" w:cs="Lexend" w:eastAsia="Lexend" w:hAnsi="Lexend"/>
          <w:color w:val="434343"/>
          <w:sz w:val="28"/>
          <w:szCs w:val="28"/>
        </w:rPr>
      </w:pPr>
      <w:bookmarkStart w:colFirst="0" w:colLast="0" w:name="_1q43tgp9xlck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Forma de llamar a las funciones desde el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la hora de  llamar  a  un JDialog este se llamará con la funcionalidad que esta haga . Por ejemplo 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vInsertarPersona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color w:val="434343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color w:val="434343"/>
          <w:sz w:val="28"/>
          <w:szCs w:val="28"/>
          <w:rtl w:val="0"/>
        </w:rPr>
        <w:t xml:space="preserve">Forma de llamar a  las clases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clases se llamaran como lo que representan , en el caso de hacer una la cual vayas a introducir los datos de una persona esta se llamará “Persona”, salvo el caso que se acabe haciendo el proyecto usando persistencia donde se llamaria 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PersonaEntity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1127724</wp:posOffset>
            </wp:positionH>
            <wp:positionV relativeFrom="paragraph">
              <wp:posOffset>621506</wp:posOffset>
            </wp:positionV>
            <wp:extent cx="1190625" cy="21907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color w:val="434343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color w:val="434343"/>
          <w:sz w:val="28"/>
          <w:szCs w:val="28"/>
          <w:rtl w:val="0"/>
        </w:rPr>
        <w:t xml:space="preserve">Nombre de los paquetes y uso de estos 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paquetes se llamarán : 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-Controlador, el cual se usará en el MAIN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-Modelo donde irán las clases 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-Vista donde estarán los JDialogs y los JFrames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875690" cy="587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690" cy="58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ExtraLight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Light-regular.ttf"/><Relationship Id="rId2" Type="http://schemas.openxmlformats.org/officeDocument/2006/relationships/font" Target="fonts/LexendExtraLight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