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VFI (verbalt forståelses-indeks) blev målt til 68 (95% KI mellem 63-80), hvilket er langt under gennemsnittet. Denne score var 2. percentil, hvilket vil sige at 2% af børnene i norm-gruppen scorede lavere. VSI (visuo-spatial (visuelt/rumligt) indeks) blev målt til 86 (95% KI mellem 79-96), hvilket er nedre del af gennemsnittet. Denne score var 18. percentil, hvilket vil sige at 18% af børnene i norm-gruppen scorede lavere. AHI (arbejdshukommelses-indeks) blev målt til 82 (95% KI mellem 76-91), hvilket er noget under gennemsnittet. Denne score var 12. percentil, hvilket vil sige at 12% af børnene i norm-gruppen scorede lavere. FHI (forarbejdningshastigheds-indeks) blev målt til 89 (95% KI mellem 81-99), hvilket er nedre del af gennemsnittet. Denne score var 23. percentil, hvilket vil sige at 23% af børnene i norm-gruppen scorede lavere. HIK (hele skalaen intelligenskvotient) blev målt til 70 (95% KI mellem 65-78), hvilket er noget under gennemsnittet. Denne score var 2. percentil, hvilket vil sige at 2%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nedre del af gennemsnittet</w:t>
            </w:r>
          </w:p>
        </w:tc>
      </w:tr>
      <w:tr>
        <w:tc>
          <w:tcPr>
            <w:tcW w:type="dxa" w:w="1728"/>
          </w:tcPr>
          <w:p>
            <w:r>
              <w:t>AHI</w:t>
            </w:r>
          </w:p>
        </w:tc>
        <w:tc>
          <w:tcPr>
            <w:tcW w:type="dxa" w:w="1728"/>
          </w:tcPr>
          <w:p>
            <w:r>
              <w:t>82</w:t>
            </w:r>
          </w:p>
        </w:tc>
        <w:tc>
          <w:tcPr>
            <w:tcW w:type="dxa" w:w="1728"/>
          </w:tcPr>
          <w:p>
            <w:r>
              <w:t>76-91</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81-99</w:t>
            </w:r>
          </w:p>
        </w:tc>
        <w:tc>
          <w:tcPr>
            <w:tcW w:type="dxa" w:w="1728"/>
          </w:tcPr>
          <w:p>
            <w:r>
              <w:t>23</w:t>
            </w:r>
          </w:p>
        </w:tc>
        <w:tc>
          <w:tcPr>
            <w:tcW w:type="dxa" w:w="1728"/>
          </w:tcPr>
          <w:p>
            <w:r>
              <w:t>nedre del af gennemsnittet</w:t>
            </w: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Det verbale forståelses-indeks måler evnen til at forstå verbal information.</w:t>
        <w:br/>
        <w:t>Det indebærer at ræsonnere i forhold til verbale begrebe,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form af billeder, piktogrammer og ugeskemaer. </w:t>
        <w:br/>
        <w:t>For at minimere elevens oplevelse af at være anderledes kan nogle af disse værktøjer fx anvendes i hele klassen, eller mere diskret på en computer - fremfor fx at eleven er den eneste med piktogrammer på deres bord.</w:t>
        <w:br/>
        <w:br/>
        <w:t xml:space="preserve">Arbejdshukommelses Indeks måler evnen til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br/>
      </w:r>
    </w:p>
    <w:p>
      <w:r>
        <w:t>Det er ofte konstruktivt, at man ikke bare ser på, hvordan man kan rumme den enkelte elevs udfordringer, men også tager hensyn til den enkelte elev på klasse-niveau.</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