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WISC-V rapport 28-08-23</w:t>
      </w:r>
    </w:p>
    <w:p>
      <w:pPr>
        <w:pStyle w:val="Heading1"/>
      </w:pPr>
      <w:r>
        <w:t>Generel beskrivelse af den kognitive test WISC-V</w:t>
      </w:r>
    </w:p>
    <w:p>
      <w:r>
        <w:t>WISC-V er en kognitiv test. Kognition er et andet ord for tænkning og testen kan give et indblik i mental funktion indenfor en række områder, herunder det sproglige, det visuelt-rummelige, ræsonnering, arbejdshukommelsen og mental arbejdshastighed. WISC-testen undersøger disse områder på en struktureret og systematisk måde, og scores sammenlignes med børn på samme alder med samme biologiske køn. Testens resultater er et øjeblik-billede og afhænger derfor også af dagsformen, om man fx er meget træt, nervøs eller om man er motiveret for at deltage. Det er vigtigt at huske på, at en testen er forbundet med en vis unøjagtighed. Derfor er testens resultat både angivet i scores, men også med et 95% konfidensinterval (herefter forkortet 95%KI), der viser det område vi med større statistisk sikkerhed kan vurdere at scores ligger indenfor. Der angives også en "percentil", hvilket er udtryk for hvor en score ligger sammenlignet med en norm-gruppe af børn som har samme biologiske køn og alder. Hvis man scorer 15. percentil betyder det, at 15% af børnene i norm-gruppen scorede lavere, og 85% af børnene i norm-gruppen scorede højere.</w:t>
      </w:r>
    </w:p>
    <w:p>
      <w:pPr>
        <w:pStyle w:val="Heading1"/>
      </w:pPr>
      <w:r>
        <w:t>Beskrivelse af forskellige indekser</w:t>
      </w:r>
    </w:p>
    <w:p>
      <w:r>
        <w:t>Testens resultat angives i en samlet score: "Hele Intelligens Kvotient" (forkortet: HIK). Herudover måler testen på 5 forskellige indekser: verbal forståelse, arbejdshukommelse, forarbejdningshastighed, visuospatial bearbejdning og ræsonnering.</w:t>
        <w:br/>
        <w:t>Det verbale forståelsesindeks (VFI) måler evnen til at forstå og kommunikere tanker og ideer verbalt. Indekset for arbejdshukommelses (AHI) måler evnen til mentalt at holde flere bolde i luften. Forarbejdningshastighedsindekset (FHI) måler mental arbejdshastighed. Det visuospatiale indeks (VSI) måler evnen til rumlig bearbejdning og evnen til visuelt at forstå og opfatte forholdet mellem helheder og dele. Ræsonneringsindekset (RSI) måler evnen til at tænke logisk og abstrakt, udvikle nye tankemønstre, drage konklusioner og se mønstre/sammenhænge. Testens resultat er opsummeret nedenfor i tekst og efterfølgende i tabel.</w:t>
      </w:r>
    </w:p>
    <w:p>
      <w:pPr>
        <w:pStyle w:val="Heading1"/>
      </w:pPr>
      <w:r>
        <w:t>Testresultat</w:t>
      </w:r>
    </w:p>
    <w:p>
      <w:r>
        <w:t xml:space="preserve">VFI (verbalt forståelses-indeks) blev målt til 106 (95% KI mellem 97-114), hvilket er gennemsnitligt. Denne score var 66.0. percentil, hvilket vil sige at 66.0% af børnene i norm-gruppen scorede lavere. VSI (visuospatialt indeks) blev målt til 100 (95% KI mellem 92-108), hvilket er gennemsnitligt. Denne score var 50.0. percentil, hvilket vil sige at 50.0% af børnene i norm-gruppen scorede lavere. RSI (logisk ræsonnerings-indeks) blev målt til 112 (95% KI mellem 103-119), hvilket er gennemsnittets øverste del. Denne score var 79.0. percentil, hvilket vil sige at 79.0% af børnene i norm-gruppen scorede lavere. AHI (arbejdshukommelses-indeks) blev målt til 89 (95% KI mellem 82-99), hvilket er gennemsnittets nederste del. Denne score var 23.0. percentil, hvilket vil sige at 23.0% af børnene i norm-gruppen scorede lavere. FHI (forarbejdningshastigheds-indeks) blev målt til 111 (95% KI mellem 101-119), hvilket er gennemsnittets øverste del. Denne score var 77.0. percentil, hvilket vil sige at 77.0% af børnene i norm-gruppen scorede lavere. HIK (hele skalaen intelligensKvotient) blev målt til 104 (95% KI mellem 98-110), hvilket er gennemsnitligt. Denne score var 61.0. percentil, hvilket vil sige at 61.0% af børnene i norm-gruppen scorede lavere. </w:t>
      </w:r>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Percentil</w:t>
            </w:r>
          </w:p>
        </w:tc>
        <w:tc>
          <w:tcPr>
            <w:tcW w:type="dxa" w:w="1728"/>
          </w:tcPr>
          <w:p>
            <w:r>
              <w:t>95%KI</w:t>
            </w:r>
          </w:p>
        </w:tc>
        <w:tc>
          <w:tcPr>
            <w:tcW w:type="dxa" w:w="1728"/>
          </w:tcPr>
          <w:p>
            <w:r>
              <w:t>Beskrivelse</w:t>
            </w:r>
          </w:p>
        </w:tc>
      </w:tr>
      <w:tr>
        <w:tc>
          <w:tcPr>
            <w:tcW w:type="dxa" w:w="1728"/>
          </w:tcPr>
          <w:p>
            <w:r>
              <w:t>VFI</w:t>
            </w:r>
          </w:p>
        </w:tc>
        <w:tc>
          <w:tcPr>
            <w:tcW w:type="dxa" w:w="1728"/>
          </w:tcPr>
          <w:p>
            <w:r>
              <w:t>106</w:t>
            </w:r>
          </w:p>
        </w:tc>
        <w:tc>
          <w:tcPr>
            <w:tcW w:type="dxa" w:w="1728"/>
          </w:tcPr>
          <w:p>
            <w:r>
              <w:t>66.0</w:t>
            </w:r>
          </w:p>
        </w:tc>
        <w:tc>
          <w:tcPr>
            <w:tcW w:type="dxa" w:w="1728"/>
          </w:tcPr>
          <w:p>
            <w:r>
              <w:t>97-114</w:t>
            </w:r>
          </w:p>
        </w:tc>
        <w:tc>
          <w:tcPr>
            <w:tcW w:type="dxa" w:w="1728"/>
          </w:tcPr>
          <w:p>
            <w:r>
              <w:t>Gennemsnitligt</w:t>
            </w:r>
          </w:p>
        </w:tc>
      </w:tr>
      <w:tr>
        <w:tc>
          <w:tcPr>
            <w:tcW w:type="dxa" w:w="1728"/>
          </w:tcPr>
          <w:p>
            <w:r>
              <w:t>VSI</w:t>
            </w:r>
          </w:p>
        </w:tc>
        <w:tc>
          <w:tcPr>
            <w:tcW w:type="dxa" w:w="1728"/>
          </w:tcPr>
          <w:p>
            <w:r>
              <w:t>100</w:t>
            </w:r>
          </w:p>
        </w:tc>
        <w:tc>
          <w:tcPr>
            <w:tcW w:type="dxa" w:w="1728"/>
          </w:tcPr>
          <w:p>
            <w:r>
              <w:t>50.0</w:t>
            </w:r>
          </w:p>
        </w:tc>
        <w:tc>
          <w:tcPr>
            <w:tcW w:type="dxa" w:w="1728"/>
          </w:tcPr>
          <w:p>
            <w:r>
              <w:t>92-108</w:t>
            </w:r>
          </w:p>
        </w:tc>
        <w:tc>
          <w:tcPr>
            <w:tcW w:type="dxa" w:w="1728"/>
          </w:tcPr>
          <w:p>
            <w:r>
              <w:t>Gennemsnitligt</w:t>
            </w:r>
          </w:p>
        </w:tc>
      </w:tr>
      <w:tr>
        <w:tc>
          <w:tcPr>
            <w:tcW w:type="dxa" w:w="1728"/>
          </w:tcPr>
          <w:p>
            <w:r>
              <w:t>RSI</w:t>
            </w:r>
          </w:p>
        </w:tc>
        <w:tc>
          <w:tcPr>
            <w:tcW w:type="dxa" w:w="1728"/>
          </w:tcPr>
          <w:p>
            <w:r>
              <w:t>112</w:t>
            </w:r>
          </w:p>
        </w:tc>
        <w:tc>
          <w:tcPr>
            <w:tcW w:type="dxa" w:w="1728"/>
          </w:tcPr>
          <w:p>
            <w:r>
              <w:t>79.0</w:t>
            </w:r>
          </w:p>
        </w:tc>
        <w:tc>
          <w:tcPr>
            <w:tcW w:type="dxa" w:w="1728"/>
          </w:tcPr>
          <w:p>
            <w:r>
              <w:t>103-119</w:t>
            </w:r>
          </w:p>
        </w:tc>
        <w:tc>
          <w:tcPr>
            <w:tcW w:type="dxa" w:w="1728"/>
          </w:tcPr>
          <w:p>
            <w:r>
              <w:t>Gennemsnittets øverste del</w:t>
            </w:r>
          </w:p>
        </w:tc>
      </w:tr>
      <w:tr>
        <w:tc>
          <w:tcPr>
            <w:tcW w:type="dxa" w:w="1728"/>
          </w:tcPr>
          <w:p>
            <w:r>
              <w:t>AHI</w:t>
            </w:r>
          </w:p>
        </w:tc>
        <w:tc>
          <w:tcPr>
            <w:tcW w:type="dxa" w:w="1728"/>
          </w:tcPr>
          <w:p>
            <w:r>
              <w:t>89</w:t>
            </w:r>
          </w:p>
        </w:tc>
        <w:tc>
          <w:tcPr>
            <w:tcW w:type="dxa" w:w="1728"/>
          </w:tcPr>
          <w:p>
            <w:r>
              <w:t>23.0</w:t>
            </w:r>
          </w:p>
        </w:tc>
        <w:tc>
          <w:tcPr>
            <w:tcW w:type="dxa" w:w="1728"/>
          </w:tcPr>
          <w:p>
            <w:r>
              <w:t>82-99</w:t>
            </w:r>
          </w:p>
        </w:tc>
        <w:tc>
          <w:tcPr>
            <w:tcW w:type="dxa" w:w="1728"/>
          </w:tcPr>
          <w:p>
            <w:r>
              <w:t>Gennemsnittets nederste del</w:t>
            </w:r>
          </w:p>
        </w:tc>
      </w:tr>
      <w:tr>
        <w:tc>
          <w:tcPr>
            <w:tcW w:type="dxa" w:w="1728"/>
          </w:tcPr>
          <w:p>
            <w:r>
              <w:t>FHI</w:t>
            </w:r>
          </w:p>
        </w:tc>
        <w:tc>
          <w:tcPr>
            <w:tcW w:type="dxa" w:w="1728"/>
          </w:tcPr>
          <w:p>
            <w:r>
              <w:t>111</w:t>
            </w:r>
          </w:p>
        </w:tc>
        <w:tc>
          <w:tcPr>
            <w:tcW w:type="dxa" w:w="1728"/>
          </w:tcPr>
          <w:p>
            <w:r>
              <w:t>77.0</w:t>
            </w:r>
          </w:p>
        </w:tc>
        <w:tc>
          <w:tcPr>
            <w:tcW w:type="dxa" w:w="1728"/>
          </w:tcPr>
          <w:p>
            <w:r>
              <w:t>101-119</w:t>
            </w:r>
          </w:p>
        </w:tc>
        <w:tc>
          <w:tcPr>
            <w:tcW w:type="dxa" w:w="1728"/>
          </w:tcPr>
          <w:p>
            <w:r>
              <w:t>Gennemsnittets øverste del</w:t>
            </w:r>
          </w:p>
        </w:tc>
      </w:tr>
      <w:tr>
        <w:tc>
          <w:tcPr>
            <w:tcW w:type="dxa" w:w="1728"/>
          </w:tcPr>
          <w:p>
            <w:r>
              <w:t>HIK</w:t>
            </w:r>
          </w:p>
        </w:tc>
        <w:tc>
          <w:tcPr>
            <w:tcW w:type="dxa" w:w="1728"/>
          </w:tcPr>
          <w:p>
            <w:r>
              <w:t>104</w:t>
            </w:r>
          </w:p>
        </w:tc>
        <w:tc>
          <w:tcPr>
            <w:tcW w:type="dxa" w:w="1728"/>
          </w:tcPr>
          <w:p>
            <w:r>
              <w:t>61.0</w:t>
            </w:r>
          </w:p>
        </w:tc>
        <w:tc>
          <w:tcPr>
            <w:tcW w:type="dxa" w:w="1728"/>
          </w:tcPr>
          <w:p>
            <w:r>
              <w:t>98-110</w:t>
            </w:r>
          </w:p>
        </w:tc>
        <w:tc>
          <w:tcPr>
            <w:tcW w:type="dxa" w:w="1728"/>
          </w:tcPr>
          <w:p>
            <w:r>
              <w:t>Gennemsnitligt</w:t>
            </w:r>
          </w:p>
        </w:tc>
      </w:tr>
    </w:tbl>
    <w:p>
      <w:pPr>
        <w:pStyle w:val="Heading1"/>
      </w:pPr>
      <w:r>
        <w:t>Klinisk Indtryk</w:t>
      </w:r>
    </w:p>
    <w:p/>
    <w:p>
      <w:pPr>
        <w:pStyle w:val="Heading1"/>
      </w:pPr>
      <w:r>
        <w:t>Anbefalinger</w:t>
      </w:r>
    </w:p>
    <w:p/>
    <w:p>
      <w:pPr>
        <w:pStyle w:val="Heading1"/>
      </w:pPr>
      <w:r>
        <w:t>Generelle anbefalinger</w:t>
      </w:r>
    </w:p>
    <w:p>
      <w:r>
        <w:t>Det er ofte konstruktivt, at man ikke bare ser på, hvordan man kan rumme den enkelte elevs udfordringer, men også tager hensyn ved at være opmærksom på klasse-niveau. 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enkelte tiltag, og efter en passende mængde tid tager stilling til, om de tiltag man vælger at tage i brug har den ønskede virkning, eller en uforudset negativ effekt. Først herefter bør man tilføje eller erstatte tiltag med udgangspunkt i barnets ønsker og behov.</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