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WISC-V rapport 30-08-23</w:t>
      </w:r>
    </w:p>
    <w:p>
      <w:pPr>
        <w:pStyle w:val="Heading1"/>
      </w:pPr>
      <w:r>
        <w:t>Generel beskrivelse af den kognitive test WISC-V</w:t>
      </w:r>
    </w:p>
    <w:p>
      <w:r>
        <w:t>WISC-V er en kognitiv test. Kognition er et andet ord for tænkning og testen kan give et indblik i mental funktion indenfor en række områder, herunder det sproglige, det visuelt-rummelige, ræsonnering, arbejdshukommelsen og mental arbejdshastighed. WISC-testen undersøger disse områder på en struktureret og systematisk måde, og scores sammenlignes med børn på samme alder med samme biologiske køn. Testens resultater er et øjeblik-billede og afhænger derfor også af dagsformen, om man fx er meget træt, nervøs eller om man er motiveret for at deltage. Det er vigtigt at huske på, at en testen er forbundet med en vis unøjagtighed. Derfor er testens resultat både angivet i scores, men også med et 95% konfidensinterval (herefter forkortet 95%KI), der viser det område vi med større statistisk sikkerhed kan vurdere at scores ligger indenfor. Der angives også en "percentil", hvilket er udtryk for hvor en score ligger sammenlignet med en norm-gruppe af børn som har samme biologiske køn og alder. Hvis man scorer 15. percentil betyder det, at 15% af børnene i norm-gruppen scorede lavere, og 85% af børnene i norm-gruppen scorede højere.</w:t>
      </w:r>
    </w:p>
    <w:p>
      <w:pPr>
        <w:pStyle w:val="Heading1"/>
      </w:pPr>
      <w:r>
        <w:t>Beskrivelse af forskellige indekser</w:t>
      </w:r>
    </w:p>
    <w:p>
      <w:r>
        <w:t>Testens resultat angives i en samlet score: "Hele Intelligens Kvotient" (forkortet: HIK). Herudover måler testen på 5 forskellige indekser: verbal forståelse, arbejdshukommelse, forarbejdningshastighed, visuospatial bearbejdning og ræsonnering.</w:t>
        <w:br/>
        <w:t>Det verbale forståelsesindeks (VFI) måler evnen til at forstå og kommunikere tanker og ideer verbalt. Indekset for arbejdshukommelses (AHI) måler evnen til mentalt at holde flere bolde i luften. Forarbejdningshastighedsindekset (FHI) måler mental arbejdshastighed. Det visuospatiale indeks (VSI) måler evnen til rumlig bearbejdning og evnen til visuelt at forstå og opfatte forholdet mellem helheder og dele. Ræsonneringsindekset (RSI) måler evnen til at tænke logisk og abstrakt, udvikle nye tankemønstre, drage konklusioner og se mønstre/sammenhænge. Testens resultat er opsummeret nedenfor i tekst og efterfølgende i tabel.</w:t>
      </w:r>
    </w:p>
    <w:p>
      <w:pPr>
        <w:pStyle w:val="Heading1"/>
      </w:pPr>
      <w:r>
        <w:t>Testresultat</w:t>
      </w:r>
    </w:p>
    <w:p>
      <w:r>
        <w:t xml:space="preserve">VFI (verbalt forståelses-indeks) blev målt til 75 (95% KI mellem 70-84), hvilket er noget under gennemsnittet. Denne score var 5.0. percentil, hvilket vil sige at 5.0% af børnene i norm-gruppen scorede lavere. VSI (visuospatialt indeks) blev målt til 102 (95% KI mellem 93-110), hvilket er gennemsnitligt. Denne score var 55.0. percentil, hvilket vil sige at 55.0% af børnene i norm-gruppen scorede lavere. RSI (logisk ræsonnerings-indeks) blev målt til 0 (95% KI mellem 0-0), hvilket er langt under gennemsnittet. Denne score var 0.0. percentil, hvilket vil sige at 0.0% af børnene i norm-gruppen scorede lavere. AHI (arbejdshukommelses-indeks) blev målt til 82 (95% KI mellem 75-92), hvilket er noget under gennemsnittet. Denne score var 12.0. percentil, hvilket vil sige at 12.0% af børnene i norm-gruppen scorede lavere. FHI (forarbejdningshastigheds-indeks) blev målt til 0 (95% KI mellem 0-0), hvilket er langt under gennemsnittet. Denne score var 0.0. percentil, hvilket vil sige at 0.0% af børnene i norm-gruppen scorede lavere. HIK (hele skalaen intelligenskvotient) blev målt til 85 (95% KI mellem 79-93), hvilket er gennemsnittets nederste del. Denne score var 16.0. percentil, hvilket vil sige at 16.0% af børnene i norm-gruppen scorede lavere. </w:t>
      </w:r>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Percentil</w:t>
            </w:r>
          </w:p>
        </w:tc>
        <w:tc>
          <w:tcPr>
            <w:tcW w:type="dxa" w:w="1728"/>
          </w:tcPr>
          <w:p>
            <w:r>
              <w:t>95%KI</w:t>
            </w:r>
          </w:p>
        </w:tc>
        <w:tc>
          <w:tcPr>
            <w:tcW w:type="dxa" w:w="1728"/>
          </w:tcPr>
          <w:p>
            <w:r>
              <w:t>Beskrivelse</w:t>
            </w:r>
          </w:p>
        </w:tc>
      </w:tr>
      <w:tr>
        <w:tc>
          <w:tcPr>
            <w:tcW w:type="dxa" w:w="1728"/>
          </w:tcPr>
          <w:p>
            <w:r>
              <w:t>VFI</w:t>
            </w:r>
          </w:p>
        </w:tc>
        <w:tc>
          <w:tcPr>
            <w:tcW w:type="dxa" w:w="1728"/>
          </w:tcPr>
          <w:p>
            <w:r>
              <w:t>75</w:t>
            </w:r>
          </w:p>
        </w:tc>
        <w:tc>
          <w:tcPr>
            <w:tcW w:type="dxa" w:w="1728"/>
          </w:tcPr>
          <w:p>
            <w:r>
              <w:t>5.0</w:t>
            </w:r>
          </w:p>
        </w:tc>
        <w:tc>
          <w:tcPr>
            <w:tcW w:type="dxa" w:w="1728"/>
          </w:tcPr>
          <w:p>
            <w:r>
              <w:t>70-84</w:t>
            </w:r>
          </w:p>
        </w:tc>
        <w:tc>
          <w:tcPr>
            <w:tcW w:type="dxa" w:w="1728"/>
          </w:tcPr>
          <w:p>
            <w:r>
              <w:t>Noget under gennemsnittet</w:t>
            </w:r>
          </w:p>
        </w:tc>
      </w:tr>
      <w:tr>
        <w:tc>
          <w:tcPr>
            <w:tcW w:type="dxa" w:w="1728"/>
          </w:tcPr>
          <w:p>
            <w:r>
              <w:t>VSI</w:t>
            </w:r>
          </w:p>
        </w:tc>
        <w:tc>
          <w:tcPr>
            <w:tcW w:type="dxa" w:w="1728"/>
          </w:tcPr>
          <w:p>
            <w:r>
              <w:t>102</w:t>
            </w:r>
          </w:p>
        </w:tc>
        <w:tc>
          <w:tcPr>
            <w:tcW w:type="dxa" w:w="1728"/>
          </w:tcPr>
          <w:p>
            <w:r>
              <w:t>55.0</w:t>
            </w:r>
          </w:p>
        </w:tc>
        <w:tc>
          <w:tcPr>
            <w:tcW w:type="dxa" w:w="1728"/>
          </w:tcPr>
          <w:p>
            <w:r>
              <w:t>93-110</w:t>
            </w:r>
          </w:p>
        </w:tc>
        <w:tc>
          <w:tcPr>
            <w:tcW w:type="dxa" w:w="1728"/>
          </w:tcPr>
          <w:p>
            <w:r>
              <w:t>Gennemsnitligt</w:t>
            </w:r>
          </w:p>
        </w:tc>
      </w:tr>
      <w:tr>
        <w:tc>
          <w:tcPr>
            <w:tcW w:type="dxa" w:w="1728"/>
          </w:tcPr>
          <w:p>
            <w:r>
              <w:t>RSI</w:t>
            </w:r>
          </w:p>
        </w:tc>
        <w:tc>
          <w:tcPr>
            <w:tcW w:type="dxa" w:w="1728"/>
          </w:tcPr>
          <w:p>
            <w:r>
              <w:t>0</w:t>
            </w:r>
          </w:p>
        </w:tc>
        <w:tc>
          <w:tcPr>
            <w:tcW w:type="dxa" w:w="1728"/>
          </w:tcPr>
          <w:p>
            <w:r>
              <w:t>0.0</w:t>
            </w:r>
          </w:p>
        </w:tc>
        <w:tc>
          <w:tcPr>
            <w:tcW w:type="dxa" w:w="1728"/>
          </w:tcPr>
          <w:p>
            <w:r>
              <w:t>0-0</w:t>
            </w:r>
          </w:p>
        </w:tc>
        <w:tc>
          <w:tcPr>
            <w:tcW w:type="dxa" w:w="1728"/>
          </w:tcPr>
          <w:p>
            <w:r>
              <w:t>Langt under gennemsnittet</w:t>
            </w:r>
          </w:p>
        </w:tc>
      </w:tr>
      <w:tr>
        <w:tc>
          <w:tcPr>
            <w:tcW w:type="dxa" w:w="1728"/>
          </w:tcPr>
          <w:p>
            <w:r>
              <w:t>AHI</w:t>
            </w:r>
          </w:p>
        </w:tc>
        <w:tc>
          <w:tcPr>
            <w:tcW w:type="dxa" w:w="1728"/>
          </w:tcPr>
          <w:p>
            <w:r>
              <w:t>82</w:t>
            </w:r>
          </w:p>
        </w:tc>
        <w:tc>
          <w:tcPr>
            <w:tcW w:type="dxa" w:w="1728"/>
          </w:tcPr>
          <w:p>
            <w:r>
              <w:t>12.0</w:t>
            </w:r>
          </w:p>
        </w:tc>
        <w:tc>
          <w:tcPr>
            <w:tcW w:type="dxa" w:w="1728"/>
          </w:tcPr>
          <w:p>
            <w:r>
              <w:t>75-92</w:t>
            </w:r>
          </w:p>
        </w:tc>
        <w:tc>
          <w:tcPr>
            <w:tcW w:type="dxa" w:w="1728"/>
          </w:tcPr>
          <w:p>
            <w:r>
              <w:t>Noget under gennemsnittet</w:t>
            </w:r>
          </w:p>
        </w:tc>
      </w:tr>
      <w:tr>
        <w:tc>
          <w:tcPr>
            <w:tcW w:type="dxa" w:w="1728"/>
          </w:tcPr>
          <w:p>
            <w:r>
              <w:t>FHI</w:t>
            </w:r>
          </w:p>
        </w:tc>
        <w:tc>
          <w:tcPr>
            <w:tcW w:type="dxa" w:w="1728"/>
          </w:tcPr>
          <w:p>
            <w:r>
              <w:t>0</w:t>
            </w:r>
          </w:p>
        </w:tc>
        <w:tc>
          <w:tcPr>
            <w:tcW w:type="dxa" w:w="1728"/>
          </w:tcPr>
          <w:p>
            <w:r>
              <w:t>0.0</w:t>
            </w:r>
          </w:p>
        </w:tc>
        <w:tc>
          <w:tcPr>
            <w:tcW w:type="dxa" w:w="1728"/>
          </w:tcPr>
          <w:p>
            <w:r>
              <w:t>0-0</w:t>
            </w:r>
          </w:p>
        </w:tc>
        <w:tc>
          <w:tcPr>
            <w:tcW w:type="dxa" w:w="1728"/>
          </w:tcPr>
          <w:p>
            <w:r>
              <w:t>Langt under gennemsnittet</w:t>
            </w:r>
          </w:p>
        </w:tc>
      </w:tr>
      <w:tr>
        <w:tc>
          <w:tcPr>
            <w:tcW w:type="dxa" w:w="1728"/>
          </w:tcPr>
          <w:p>
            <w:r>
              <w:t>HIK</w:t>
            </w:r>
          </w:p>
        </w:tc>
        <w:tc>
          <w:tcPr>
            <w:tcW w:type="dxa" w:w="1728"/>
          </w:tcPr>
          <w:p>
            <w:r>
              <w:t>85</w:t>
            </w:r>
          </w:p>
        </w:tc>
        <w:tc>
          <w:tcPr>
            <w:tcW w:type="dxa" w:w="1728"/>
          </w:tcPr>
          <w:p>
            <w:r>
              <w:t>16.0</w:t>
            </w:r>
          </w:p>
        </w:tc>
        <w:tc>
          <w:tcPr>
            <w:tcW w:type="dxa" w:w="1728"/>
          </w:tcPr>
          <w:p>
            <w:r>
              <w:t>79-93</w:t>
            </w:r>
          </w:p>
        </w:tc>
        <w:tc>
          <w:tcPr>
            <w:tcW w:type="dxa" w:w="1728"/>
          </w:tcPr>
          <w:p>
            <w:r>
              <w:t>Gennemsnittets nederste del</w:t>
            </w:r>
          </w:p>
        </w:tc>
      </w:tr>
    </w:tbl>
    <w:p>
      <w:pPr>
        <w:pStyle w:val="Heading1"/>
      </w:pPr>
      <w:r>
        <w:t>Klinisk Indtryk</w:t>
      </w:r>
    </w:p>
    <w:p/>
    <w:p>
      <w:pPr>
        <w:pStyle w:val="Heading1"/>
      </w:pPr>
      <w:r>
        <w:t>Anbefalinger</w:t>
      </w:r>
    </w:p>
    <w:p>
      <w:r>
        <w:t>En lav score på testen er ikke et udtryk for, at man ikke kan udvikle sig, men et udtryk for at man i den specifikke test-situation opnåede en bestemt score. Når scoren er retvisende for barnets niveau vil barnet oftest udvikle sig sammen med gennemsnittet - så barnets rå-score stiger samtidig med at gennemsnittet også stiger. Derfor ser man ofte, at børn bliver ved med at ligge i nærheden af det samme område ift. gennemsnittet, men det er vigtigt ikke at forveksle dette med fraværet af udvikling, eller manglende potentiale herfor. Med dette i tankerne er det dog vigtigt at støtte barnet i at finde værdier og mål, som relaterer sig til ting, som er indenfor barnets kontrol. Eksempelvist er flid, ærlighed, omtanke, nysgerrighed og mod alt sammen fuldkommen indenfor barnets kontrol, hvor antallet af løste opgaver fx kun delvist er indenfor barnets kontrol.</w:t>
        <w:br/>
        <w:t xml:space="preserve">Det er desuden vigtigt at huske på, at et hvert forsøg på at hjælpe kan have nogle uforudsete bivirkninger. Fx er det almindeligt at opleve frustrationer i brug af computer til ordblindhed, fordi de røde streger konstant minder eleven om, at de har stavet forkert og har svært ved det. Ligeledes kan en computer være et komplekst værktøj, som eleven har svært ved at overskue at anvende. Disse ting kan bidrage til at give en elev en oplevelse af at deres ressourcer ikke rækker til det som forventes af dem. Således er det vigtigt at man løbende er nysgerrig og undersøgende overfor om ens hjælpsomme intentioner også har den positive effekt man ønsker, eller om man skal justere og eller erstatte indsatsen. Hvis der gøres en ekstraordinær indsats for at støtte en elev kan dette være forbundet med at eleven føler sig anderledes og udstillet. Derfor er det vigtigt at støttehensyn tager højde for dette og at støtte gives på en måde der ikke udstiller det ekstraordinære behov for støtte. I de situationer, hvor det ikke er muligt at ”skjule” støtten, skal den positive effekt af støtten opvejes med evt. negative konsekvenser. </w:t>
        <w:br/>
        <w:t xml:space="preserve">Nedenfor gennemgås mere specifikke hensyn jævnfør testresultatet i WISC-V testen. </w:t>
        <w:br/>
      </w:r>
    </w:p>
    <w:p>
      <w:pPr>
        <w:pStyle w:val="Heading1"/>
      </w:pPr>
      <w:r>
        <w:t>Generelle anbefalinger</w:t>
      </w:r>
    </w:p>
    <w:p>
      <w:r>
        <w:t>Det er ofte konstruktivt, at man ikke bare ser på, hvordan man kan rumme den enkelte elevs udfordringer, men også tager hensyn ved at være opmærksom på klasse-niveau. 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enkelte tiltag, og efter en passende mængde tid tager stilling til, om de tiltag man vælger at tage i brug har den ønskede virkning, eller en uforudset negativ effekt. Først herefter bør man tilføje eller erstatte tiltag med udgangspunkt i barnets ønsker og behov.</w:t>
        <w:br/>
      </w:r>
    </w:p>
    <w:p>
      <w:pPr>
        <w:pStyle w:val="Heading1"/>
      </w:pPr>
      <w:r>
        <w:t>Anbefalinger til støtte af nedsat verbal forståelse</w:t>
      </w:r>
    </w:p>
    <w:p>
      <w:r>
        <w:t>Det verbale forståelses-indeks (VFI) måler evnen til at forstå verbal information.</w:t>
        <w:br/>
        <w:t>Det indebærer at ræsonnere i forhold til verbale begreber,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ved brug af billeder, piktogrammer og ugeskemaer. </w:t>
        <w:br/>
        <w:t>For at minimere elevens oplevelse af at være anderledes kan nogle af disse værktøjer fx anvendes i hele klassen, eller mere diskret på en computer - fremfor, at eleven fx er den eneste med piktogrammer på deres bord.</w:t>
        <w:br/>
      </w:r>
    </w:p>
    <w:p>
      <w:pPr>
        <w:pStyle w:val="Heading1"/>
      </w:pPr>
      <w:r>
        <w:t>Anbefalinger til støtte af nedsat ræsonnering</w:t>
      </w:r>
    </w:p>
    <w:p>
      <w:r>
        <w:t>Ræsonnerings-indekset måler evnen til at tænke logisk og abstrakt, udvikle nye tankemønstre, løse problemer på en kreativ måde, drage konklusioner og se mønstre og sammenhænge.</w:t>
        <w:br/>
        <w:t>Indekset måler også overordnet visuel evne og evnen til at bearbejde informationer samtidigt.</w:t>
        <w:br/>
        <w:t>Følgende støtte kan være relevant for en elev, som scorer lavt på RSI :</w:t>
        <w:br/>
        <w:t>- Lær eleven at bruge selvtale og verbal hukommelse til problemløsning</w:t>
        <w:br/>
        <w:t>- Lær barnet teknikke for problemløsning (fx at arbejde trin for trin, marker eller saml relevante dele til løsning af opgave)</w:t>
        <w:br/>
        <w:t>- Brug lister/procedurer til problemløsning</w:t>
        <w:br/>
        <w:t>- Overindlær gennem repetition</w:t>
        <w:br/>
        <w:t>- Undgå lange instruktioner og metaforer</w:t>
        <w:br/>
        <w:t>- Vær opmærksom på om der er vanskeligheder med at organisere og med sociale færdigheder</w:t>
        <w:br/>
      </w:r>
    </w:p>
    <w:p>
      <w:pPr>
        <w:pStyle w:val="Heading1"/>
      </w:pPr>
      <w:r>
        <w:t>Anbefalinger til støtte af nedsat arbejdshukommelse</w:t>
      </w:r>
    </w:p>
    <w:p>
      <w:r>
        <w:t xml:space="preserve">Arbejdshukommelses Indeks måler evnen til mentalt at "holde flere bolde i luften". </w:t>
        <w:br/>
        <w:t>Dette kræver brug af opmærksomhed, koncentration og mental kontrol.</w:t>
        <w:br/>
        <w:t>Hvis arbejdshukommelsen har lav kapacitet kan det derfor være svært at løse komplekse opgaver, som består af mange dele, som samtidigt skal anvendes - da der ikke er plads til at fastholde dem alle i sindet på en gang - nogle af delene kan blive "glemt", i takt med at andre bliver anvendt.</w:t>
        <w:br/>
        <w:t>I forlængelse heraf kan følgende tiltag anvendes for at støtte en elev med nedsat arbejdshukommelse.</w:t>
        <w:br/>
        <w:t>- Vær sikker på at barnet ved hvad de skal gøre for at løse opgaven</w:t>
        <w:br/>
        <w:t>- Øv at følge instruktioner ifbm. opgaveløsning</w:t>
        <w:br/>
        <w:t>- Bryd instruktioner ned i mindre bidder og gentag dem gerne</w:t>
        <w:br/>
        <w:t>- Bryd opgaven ned i mindre dele</w:t>
        <w:br/>
        <w:t>- Lær barnet at bruge egne strategier (fx at spørge en underviser, brug af hjælpemidler som it-computer, opdeling af opgaver i overskuelige dele)</w:t>
        <w:br/>
        <w:t>- Reducer distraktioner i omgivelserne</w:t>
        <w:br/>
        <w:t>- Giv visuelle påmindelser fx i form af skriftlige instrukser, piktogrammer, tegninger eller andre visuelle hjælpemidler.</w:t>
        <w:br/>
        <w:t>Disse hjælpemidler vil have til fælles, at de støtter eleven i at kunne vende tilbage til information, hvis man "taber" et element under den mentale bearbejdning.</w:t>
        <w:br/>
      </w:r>
    </w:p>
    <w:p>
      <w:pPr>
        <w:pStyle w:val="Heading1"/>
      </w:pPr>
      <w:r>
        <w:t>Anbefalinger til støtte af nedsat forarbejdningshastighed</w:t>
      </w:r>
    </w:p>
    <w:p>
      <w:r>
        <w:t>Forarbejdningshastighed er udtryk for ens mentale arbejdshastighed.</w:t>
        <w:br/>
        <w:t>En lav score på forarbejdningshastighed vil betyde at man vil være længere om at løse opgaver end en gennemsnitlig elev af samme biologiske køn på samme alder.</w:t>
        <w:br/>
        <w:t>Derfor kan de følgende tiltag være relevante for at støtte en elev som har scoret lavt på forarbejdningshastighed:</w:t>
        <w:br/>
        <w:t>- Giv god tid til svar og beslutningstagen</w:t>
        <w:br/>
        <w:t>- Lad ikke eleven arbejde under tidspres</w:t>
        <w:br/>
        <w:t>- Læg vægt på kvalitet frem for kvantitet i skoleopgaver</w:t>
        <w:br/>
        <w:t>- Giv ekstra tid til at færdiggøre opgaver</w:t>
        <w:br/>
        <w:t>- Vær opmærksom på at minimere distraktioner i omgivelserne</w:t>
        <w:br/>
      </w:r>
    </w:p>
    <w:p>
      <w:pPr>
        <w:pStyle w:val="Heading1"/>
      </w:pPr>
      <w:r>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