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3D72" w:rsidRDefault="00303D72" w14:paraId="767A24DC" w14:textId="77777777">
      <w:pPr>
        <w:spacing w:before="2400"/>
      </w:pPr>
    </w:p>
    <w:p w:rsidRPr="00C05DDC" w:rsidR="00303D72" w:rsidRDefault="00000000" w14:paraId="46E4F4BF" w14:textId="77777777">
      <w:pPr>
        <w:spacing w:after="80"/>
        <w:jc w:val="center"/>
        <w:rPr>
          <w:color w:val="C00000"/>
        </w:rPr>
      </w:pPr>
      <w:r w:rsidRPr="00C05DDC">
        <w:rPr>
          <w:b/>
          <w:bCs/>
          <w:color w:val="C00000"/>
          <w:sz w:val="26"/>
          <w:szCs w:val="26"/>
        </w:rPr>
        <w:t>FGV QUEST</w:t>
      </w:r>
    </w:p>
    <w:p w:rsidR="00303D72" w:rsidRDefault="00000000" w14:paraId="588E21B8" w14:textId="77777777">
      <w:pPr>
        <w:spacing w:after="600"/>
        <w:jc w:val="center"/>
      </w:pPr>
      <w:r>
        <w:rPr>
          <w:color w:val="595959"/>
        </w:rPr>
        <w:t>Documento de Projeto de Pesquisa</w:t>
      </w:r>
    </w:p>
    <w:p w:rsidR="00303D72" w:rsidP="6A60E362" w:rsidRDefault="00000000" w14:paraId="5FB083FB" w14:textId="37508821">
      <w:pPr>
        <w:pBdr>
          <w:top w:val="single" w:color="1F3864" w:sz="8" w:space="8"/>
          <w:bottom w:val="single" w:color="1F3864" w:sz="8" w:space="8"/>
        </w:pBdr>
        <w:spacing w:after="160"/>
        <w:jc w:val="center"/>
      </w:pPr>
      <w:r w:rsidRPr="6A60E362" w:rsidR="6A60E362">
        <w:rPr>
          <w:b w:val="1"/>
          <w:bCs w:val="1"/>
          <w:color w:val="1F3864" w:themeColor="accent1" w:themeTint="FF" w:themeShade="80"/>
          <w:sz w:val="48"/>
          <w:szCs w:val="48"/>
        </w:rPr>
        <w:t>ISJ - Índice de Segurança do Jogador</w:t>
      </w:r>
    </w:p>
    <w:p w:rsidR="00303D72" w:rsidRDefault="00000000" w14:paraId="11C422DB" w14:textId="77777777">
      <w:pPr>
        <w:spacing w:before="160" w:after="1200"/>
        <w:jc w:val="center"/>
      </w:pPr>
      <w:r>
        <w:rPr>
          <w:i/>
          <w:iCs/>
          <w:color w:val="595959"/>
          <w:sz w:val="24"/>
          <w:szCs w:val="24"/>
        </w:rPr>
        <w:t>Uma métrica para traduzir os princípios do ECA Digital em jogos eletrônicos</w:t>
      </w:r>
    </w:p>
    <w:p w:rsidR="00303D72" w:rsidRDefault="00000000" w14:paraId="2C79E9E7" w14:textId="77777777">
      <w:pPr>
        <w:spacing w:after="80"/>
        <w:jc w:val="center"/>
      </w:pPr>
      <w:r>
        <w:t>Disciplina: Metodologia de Pesquisa</w:t>
      </w:r>
    </w:p>
    <w:p w:rsidR="00303D72" w:rsidRDefault="00000000" w14:paraId="5C0EFB30" w14:textId="77777777">
      <w:pPr>
        <w:spacing w:after="80"/>
        <w:jc w:val="center"/>
      </w:pPr>
      <w:r>
        <w:t>Graduação em Comunicação — FGV ECMI</w:t>
      </w:r>
    </w:p>
    <w:p w:rsidR="00303D72" w:rsidRDefault="00000000" w14:paraId="45C74A16" w14:textId="77777777">
      <w:pPr>
        <w:spacing w:after="80"/>
        <w:jc w:val="center"/>
      </w:pPr>
      <w:r>
        <w:rPr>
          <w:color w:val="595959"/>
        </w:rPr>
        <w:t>Documento preparatório para reunião de orientação</w:t>
      </w:r>
    </w:p>
    <w:p w:rsidR="00303D72" w:rsidRDefault="00000000" w14:paraId="09720C2E" w14:textId="77777777">
      <w:pPr>
        <w:spacing w:before="600"/>
        <w:jc w:val="center"/>
      </w:pPr>
      <w:r>
        <w:rPr>
          <w:color w:val="595959"/>
        </w:rPr>
        <w:t>Maio de 2026</w:t>
      </w:r>
    </w:p>
    <w:p w:rsidR="00303D72" w:rsidRDefault="00303D72" w14:paraId="774A008C" w14:textId="77777777">
      <w:pPr>
        <w:sectPr w:rsidR="00303D72">
          <w:pgSz w:w="12240" w:h="15840" w:orient="portrait"/>
          <w:pgMar w:top="1440" w:right="1440" w:bottom="1440" w:left="1440" w:header="708" w:footer="708" w:gutter="0"/>
          <w:cols w:space="720"/>
          <w:docGrid w:linePitch="360"/>
        </w:sectPr>
      </w:pPr>
    </w:p>
    <w:p w:rsidR="00303D72" w:rsidRDefault="00000000" w14:paraId="6D03F1C5" w14:textId="77777777">
      <w:pPr>
        <w:pStyle w:val="Ttulo1"/>
      </w:pPr>
      <w:bookmarkStart w:name="_Toc230726740" w:id="0"/>
      <w:r>
        <w:lastRenderedPageBreak/>
        <w:t>Sumário</w:t>
      </w:r>
      <w:bookmarkEnd w:id="0"/>
    </w:p>
    <w:sdt>
      <w:sdtPr>
        <w:alias w:val="Sumário"/>
        <w:id w:val="-322736440"/>
        <w:placeholder>
          <w:docPart w:val="DefaultPlaceholder_1081868574"/>
        </w:placeholder>
      </w:sdtPr>
      <w:sdtContent>
        <w:p w:rsidR="007B6D10" w:rsidRDefault="00000000" w14:paraId="4B5EF698" w14:textId="77777777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history="1" w:anchor="_Toc230726740">
            <w:r w:rsidRPr="00B116C8" w:rsidR="007B6D10">
              <w:rPr>
                <w:rStyle w:val="Hyperlink"/>
                <w:noProof/>
              </w:rPr>
              <w:t>Sumário</w:t>
            </w:r>
            <w:r w:rsidR="007B6D10">
              <w:rPr>
                <w:noProof/>
              </w:rPr>
              <w:tab/>
            </w:r>
            <w:r w:rsidR="007B6D10">
              <w:rPr>
                <w:noProof/>
              </w:rPr>
              <w:fldChar w:fldCharType="begin"/>
            </w:r>
            <w:r w:rsidR="007B6D10">
              <w:rPr>
                <w:noProof/>
              </w:rPr>
              <w:instrText xml:space="preserve"> PAGEREF _Toc230726740 \h </w:instrText>
            </w:r>
            <w:r w:rsidR="007B6D10">
              <w:rPr>
                <w:noProof/>
              </w:rPr>
            </w:r>
            <w:r w:rsidR="007B6D10">
              <w:rPr>
                <w:noProof/>
              </w:rPr>
              <w:fldChar w:fldCharType="separate"/>
            </w:r>
            <w:r w:rsidR="007B6D10">
              <w:rPr>
                <w:noProof/>
              </w:rPr>
              <w:t>1</w:t>
            </w:r>
            <w:r w:rsidR="007B6D10">
              <w:rPr>
                <w:noProof/>
              </w:rPr>
              <w:fldChar w:fldCharType="end"/>
            </w:r>
          </w:hyperlink>
        </w:p>
        <w:p w:rsidR="007B6D10" w:rsidRDefault="007B6D10" w14:paraId="152711F1" w14:textId="7777777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history="1" w:anchor="_Toc230726741">
            <w:r w:rsidRPr="00B116C8">
              <w:rPr>
                <w:rStyle w:val="Hyperlink"/>
                <w:noProof/>
              </w:rPr>
              <w:t>1. Resumo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16E81389" w14:textId="7777777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history="1" w:anchor="_Toc230726742">
            <w:r w:rsidRPr="00B116C8">
              <w:rPr>
                <w:rStyle w:val="Hyperlink"/>
                <w:noProof/>
              </w:rPr>
              <w:t>2. Justificativa e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60421F19" w14:textId="7777777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history="1" w:anchor="_Toc230726743">
            <w:r w:rsidRPr="00B116C8">
              <w:rPr>
                <w:rStyle w:val="Hyperlink"/>
                <w:noProof/>
              </w:rPr>
              <w:t>3.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63AFE1FD" w14:textId="77777777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history="1" w:anchor="_Toc230726744">
            <w:r w:rsidRPr="00B116C8">
              <w:rPr>
                <w:rStyle w:val="Hyperlink"/>
                <w:noProof/>
              </w:rPr>
              <w:t>3.1 Objetivo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6D7D93EE" w14:textId="77777777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history="1" w:anchor="_Toc230726745">
            <w:r w:rsidRPr="00B116C8">
              <w:rPr>
                <w:rStyle w:val="Hyperlink"/>
                <w:noProof/>
              </w:rPr>
              <w:t>3.2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05A0F651" w14:textId="7777777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history="1" w:anchor="_Toc230726746">
            <w:r w:rsidRPr="00B116C8">
              <w:rPr>
                <w:rStyle w:val="Hyperlink"/>
                <w:noProof/>
              </w:rPr>
              <w:t>4. Metodologia de Construção do Índice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0B1647C9" w14:textId="7777777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history="1" w:anchor="_Toc230726747">
            <w:r w:rsidRPr="00B116C8">
              <w:rPr>
                <w:rStyle w:val="Hyperlink"/>
                <w:noProof/>
              </w:rPr>
              <w:t>5. Elementos Avaliados pelo Índice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70CCB2FF" w14:textId="7777777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history="1" w:anchor="_Toc230726748">
            <w:r w:rsidRPr="00B116C8">
              <w:rPr>
                <w:rStyle w:val="Hyperlink"/>
                <w:noProof/>
              </w:rPr>
              <w:t>6. Ponderação dos Elementos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77FBDDB0" w14:textId="7777777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history="1" w:anchor="_Toc230726749">
            <w:r w:rsidRPr="00B116C8">
              <w:rPr>
                <w:rStyle w:val="Hyperlink"/>
                <w:noProof/>
              </w:rPr>
              <w:t>7. Fontes de Dados por Elemento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1474AF49" w14:textId="77777777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history="1" w:anchor="_Toc230726750">
            <w:r w:rsidRPr="00B116C8">
              <w:rPr>
                <w:rStyle w:val="Hyperlink"/>
                <w:noProof/>
              </w:rPr>
              <w:t>Lacunas de coleta a enfrentar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5B755138" w14:textId="7777777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history="1" w:anchor="_Toc230726751">
            <w:r w:rsidRPr="00B116C8">
              <w:rPr>
                <w:rStyle w:val="Hyperlink"/>
                <w:noProof/>
              </w:rPr>
              <w:t>8. Produto Final: Portal de Transparência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3EB9B90B" w14:textId="7777777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history="1" w:anchor="_Toc230726752">
            <w:r w:rsidRPr="00B116C8">
              <w:rPr>
                <w:rStyle w:val="Hyperlink"/>
                <w:noProof/>
              </w:rPr>
              <w:t>9. Próximos Passos Sugeridos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B6D10" w:rsidRDefault="007B6D10" w14:paraId="75FCC3D1" w14:textId="7777777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history="1" w:anchor="_Toc230726753">
            <w:r w:rsidRPr="00B116C8">
              <w:rPr>
                <w:rStyle w:val="Hyperlink"/>
                <w:noProof/>
              </w:rPr>
              <w:t>10. Pontos em Aberto para a Reunião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03D72" w:rsidRDefault="00000000" w14:paraId="7CF12D8C" w14:textId="77777777">
          <w:r>
            <w:fldChar w:fldCharType="end"/>
          </w:r>
        </w:p>
      </w:sdtContent>
    </w:sdt>
    <w:p w:rsidR="00303D72" w:rsidRDefault="00000000" w14:paraId="4B6D412E" w14:textId="77777777">
      <w:r>
        <w:br w:type="page"/>
      </w:r>
    </w:p>
    <w:p w:rsidR="00303D72" w:rsidRDefault="00000000" w14:paraId="396A5C26" w14:textId="77777777">
      <w:pPr>
        <w:pStyle w:val="Ttulo1"/>
      </w:pPr>
      <w:bookmarkStart w:name="_Toc230726741" w:id="1"/>
      <w:r>
        <w:lastRenderedPageBreak/>
        <w:t>1. Resumo do Projeto</w:t>
      </w:r>
      <w:bookmarkEnd w:id="1"/>
    </w:p>
    <w:p w:rsidR="00303D72" w:rsidRDefault="00000000" w14:paraId="405E00DC" w14:textId="484DCFC6">
      <w:pPr>
        <w:spacing w:after="120"/>
        <w:jc w:val="both"/>
      </w:pPr>
      <w:r>
        <w:rPr>
          <w:color w:val="000000"/>
        </w:rPr>
        <w:t>A FGV Quest propõe a construção de um Índice de Segurança do Jogador (ISJ</w:t>
      </w:r>
      <w:r w:rsidR="007B6D10">
        <w:rPr>
          <w:color w:val="000000"/>
        </w:rPr>
        <w:t>, a pensar no nome do projeto</w:t>
      </w:r>
      <w:r>
        <w:rPr>
          <w:color w:val="000000"/>
        </w:rPr>
        <w:t>): uma métrica única e comparável que traduz, em um número, o grau em que um jogo eletrônico respeita os princípios de proteção a crianças e adolescentes consagrados pelo ECA Digital (Lei nº 15.211/2025).</w:t>
      </w:r>
    </w:p>
    <w:p w:rsidR="00303D72" w:rsidRDefault="00000000" w14:paraId="7153D6B4" w14:textId="77777777">
      <w:pPr>
        <w:spacing w:after="120"/>
        <w:jc w:val="both"/>
      </w:pPr>
      <w:r w:rsidRPr="6A60E362" w:rsidR="6A60E362">
        <w:rPr>
          <w:color w:val="000000" w:themeColor="text1" w:themeTint="FF" w:themeShade="FF"/>
        </w:rPr>
        <w:t xml:space="preserve">O problema central é de comunicação: a legislação e a literatura técnica descrevem riscos do ambiente digital em uma linguagem que jogadores, responsáveis e instituições têm dificuldade de interpretar e comparar. O ISJ </w:t>
      </w:r>
      <w:commentRangeStart w:id="497930984"/>
      <w:r w:rsidRPr="6A60E362" w:rsidR="6A60E362">
        <w:rPr>
          <w:color w:val="000000" w:themeColor="text1" w:themeTint="FF" w:themeShade="FF"/>
        </w:rPr>
        <w:t>“mastiga”</w:t>
      </w:r>
      <w:commentRangeEnd w:id="497930984"/>
      <w:r>
        <w:rPr>
          <w:rStyle w:val="CommentReference"/>
        </w:rPr>
        <w:commentReference w:id="497930984"/>
      </w:r>
      <w:r w:rsidRPr="6A60E362" w:rsidR="6A60E362">
        <w:rPr>
          <w:color w:val="000000" w:themeColor="text1" w:themeTint="FF" w:themeShade="FF"/>
        </w:rPr>
        <w:t xml:space="preserve"> esses elementos e os devolve em um </w:t>
      </w:r>
      <w:commentRangeStart w:id="1036584281"/>
      <w:r w:rsidRPr="6A60E362" w:rsidR="6A60E362">
        <w:rPr>
          <w:color w:val="000000" w:themeColor="text1" w:themeTint="FF" w:themeShade="FF"/>
        </w:rPr>
        <w:t>indicador</w:t>
      </w:r>
      <w:commentRangeEnd w:id="1036584281"/>
      <w:r>
        <w:rPr>
          <w:rStyle w:val="CommentReference"/>
        </w:rPr>
        <w:commentReference w:id="1036584281"/>
      </w:r>
      <w:r w:rsidRPr="6A60E362" w:rsidR="6A60E362">
        <w:rPr>
          <w:color w:val="000000" w:themeColor="text1" w:themeTint="FF" w:themeShade="FF"/>
        </w:rPr>
        <w:t xml:space="preserve"> tangível, no mesmo espírito de índices consolidados como o Ibovespa ou os índices de inflação.</w:t>
      </w:r>
    </w:p>
    <w:p w:rsidR="00303D72" w:rsidRDefault="00000000" w14:paraId="3860AEFA" w14:textId="77777777">
      <w:pPr>
        <w:spacing w:after="120"/>
        <w:jc w:val="both"/>
      </w:pPr>
      <w:r>
        <w:rPr>
          <w:color w:val="000000"/>
        </w:rPr>
        <w:t>A entrega final do projeto é um portal de transparência on-line, no qual a metodologia do índice fica aberta à consulta pública e cada jogo avaliado recebe uma página com sua pontuação detalhada por elemento.</w:t>
      </w:r>
    </w:p>
    <w:p w:rsidR="00303D72" w:rsidRDefault="00000000" w14:paraId="702582C3" w14:textId="77777777">
      <w:pPr>
        <w:pStyle w:val="Ttulo1"/>
      </w:pPr>
      <w:bookmarkStart w:name="_Toc230726742" w:id="2"/>
      <w:r>
        <w:t>2. Justificativa e Contexto</w:t>
      </w:r>
      <w:bookmarkEnd w:id="2"/>
    </w:p>
    <w:p w:rsidR="00303D72" w:rsidRDefault="00000000" w14:paraId="6A1659CA" w14:textId="77777777">
      <w:pPr>
        <w:spacing w:after="120"/>
        <w:jc w:val="both"/>
      </w:pPr>
      <w:r>
        <w:rPr>
          <w:color w:val="000000"/>
        </w:rPr>
        <w:t>O ECA Digital entrou em vigor em 17 de março de 2026, tornando-se o marco regulatório mais abrangente do Brasil para a proteção de crianças e adolescentes no ambiente digital, com alcance explícito sobre jogos eletrônicos. A lei estabelece a corresponsabilidade das plataformas pela segurança de usuários menores de 18 anos.</w:t>
      </w:r>
    </w:p>
    <w:p w:rsidR="00303D72" w:rsidRDefault="00000000" w14:paraId="767F8A66" w14:textId="77777777">
      <w:pPr>
        <w:spacing w:after="120"/>
        <w:jc w:val="both"/>
      </w:pPr>
      <w:r>
        <w:rPr>
          <w:color w:val="000000"/>
        </w:rPr>
        <w:t>Apesar do avanço legal, persiste uma lacuna de inteligibilidade: os deveres das plataformas e os riscos a que o jogador se expõe permanecem descritos em termos jurídicos e técnicos. Famílias e instituições não dispõem de um instrumento simples para responder a uma pergunta prática: “este jogo é seguro?”</w:t>
      </w:r>
    </w:p>
    <w:p w:rsidR="00303D72" w:rsidRDefault="00000000" w14:paraId="15ED5A1A" w14:textId="52ADF825">
      <w:pPr>
        <w:spacing w:after="120"/>
        <w:jc w:val="both"/>
      </w:pPr>
      <w:r>
        <w:rPr>
          <w:color w:val="000000"/>
        </w:rPr>
        <w:t>É essa lacuna que o ISJ pretende preencher, atuando como camada de tradução entre a norma e o público</w:t>
      </w:r>
      <w:r w:rsidR="007B6D10">
        <w:rPr>
          <w:color w:val="000000"/>
        </w:rPr>
        <w:t>,</w:t>
      </w:r>
      <w:r>
        <w:rPr>
          <w:color w:val="000000"/>
        </w:rPr>
        <w:t xml:space="preserve"> função comunicacional que dialoga diretamente com a área de formação da equipe.</w:t>
      </w:r>
    </w:p>
    <w:p w:rsidR="00303D72" w:rsidRDefault="00000000" w14:paraId="4DA6526A" w14:textId="77777777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Nota metodológica: </w:t>
      </w:r>
      <w:r>
        <w:rPr>
          <w:i/>
          <w:iCs/>
          <w:color w:val="595959"/>
          <w:sz w:val="20"/>
          <w:szCs w:val="20"/>
        </w:rPr>
        <w:t>as referências legais e estatísticas devem ser conferidas nas fontes primárias (texto da Lei nº 15.211/2025 e pesquisas citadas) antes da versão final, conforme boa prática de pesquisa.</w:t>
      </w:r>
    </w:p>
    <w:p w:rsidR="00303D72" w:rsidRDefault="00000000" w14:paraId="00B4847A" w14:textId="77777777">
      <w:pPr>
        <w:pStyle w:val="Ttulo1"/>
      </w:pPr>
      <w:bookmarkStart w:name="_Toc230726743" w:id="3"/>
      <w:r>
        <w:t>3. Objetivos</w:t>
      </w:r>
      <w:bookmarkEnd w:id="3"/>
    </w:p>
    <w:p w:rsidR="00303D72" w:rsidRDefault="00000000" w14:paraId="284AF93D" w14:textId="77777777">
      <w:pPr>
        <w:pStyle w:val="Ttulo2"/>
      </w:pPr>
      <w:bookmarkStart w:name="_Toc230726744" w:id="4"/>
      <w:r>
        <w:t>3.1 Objetivo geral</w:t>
      </w:r>
      <w:bookmarkEnd w:id="4"/>
    </w:p>
    <w:p w:rsidR="00303D72" w:rsidRDefault="00000000" w14:paraId="5F48667C" w14:textId="77777777">
      <w:pPr>
        <w:spacing w:after="120"/>
        <w:jc w:val="both"/>
      </w:pPr>
      <w:r>
        <w:rPr>
          <w:color w:val="000000"/>
        </w:rPr>
        <w:t>Desenvolver e disponibilizar publicamente um índice que mensure o grau de segurança oferecido por jogos eletrônicos a crianças e adolescentes, à luz dos princípios do ECA Digital.</w:t>
      </w:r>
    </w:p>
    <w:p w:rsidR="00303D72" w:rsidRDefault="00000000" w14:paraId="779099C5" w14:textId="77777777">
      <w:pPr>
        <w:pStyle w:val="Ttulo2"/>
      </w:pPr>
      <w:bookmarkStart w:name="_Toc230726745" w:id="5"/>
      <w:r>
        <w:t>3.2 Objetivos específicos</w:t>
      </w:r>
      <w:bookmarkEnd w:id="5"/>
    </w:p>
    <w:p w:rsidR="00303D72" w:rsidRDefault="00000000" w14:paraId="01680053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Definir, de forma operacional, os elementos de risco que compõem o índice.</w:t>
      </w:r>
    </w:p>
    <w:p w:rsidR="00303D72" w:rsidRDefault="00000000" w14:paraId="0DE1170B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Estabelecer uma escala de ponderação que reflita a gravidade relativa de cada elemento.</w:t>
      </w:r>
    </w:p>
    <w:p w:rsidR="00303D72" w:rsidRDefault="00000000" w14:paraId="0F3DBEE4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Mapear as fontes de dados de onde cada elemento pode ser observado e coletado.</w:t>
      </w:r>
    </w:p>
    <w:p w:rsidR="00303D72" w:rsidRDefault="00000000" w14:paraId="4ED0F127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Definir um método de agregação e de cálculo comparativo do índice.</w:t>
      </w:r>
    </w:p>
    <w:p w:rsidR="00303D72" w:rsidRDefault="00000000" w14:paraId="40C04FD4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Publicar a metodologia e as avaliações em um portal de transparência.</w:t>
      </w:r>
    </w:p>
    <w:p w:rsidR="00303D72" w:rsidRDefault="00000000" w14:paraId="2CC35454" w14:textId="77777777">
      <w:pPr>
        <w:pStyle w:val="Ttulo1"/>
      </w:pPr>
      <w:bookmarkStart w:name="_Toc230726746" w:id="6"/>
      <w:r>
        <w:t>4. Metodologia de Construção do Índice</w:t>
      </w:r>
      <w:bookmarkEnd w:id="6"/>
    </w:p>
    <w:p w:rsidR="00303D72" w:rsidRDefault="00000000" w14:paraId="5C86EBF6" w14:textId="77777777">
      <w:pPr>
        <w:spacing w:after="120"/>
        <w:jc w:val="both"/>
      </w:pPr>
      <w:r>
        <w:rPr>
          <w:color w:val="000000"/>
        </w:rPr>
        <w:lastRenderedPageBreak/>
        <w:t>A construção segue as etapas clássicas de elaboração de um número-índice, adaptadas ao objeto “segurança em jogos”:</w:t>
      </w:r>
    </w:p>
    <w:p w:rsidR="00303D72" w:rsidRDefault="00000000" w14:paraId="3F172737" w14:textId="1328F807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Definição do escopo: </w:t>
      </w:r>
      <w:r>
        <w:t>o índice mede a segurança do jogador</w:t>
      </w:r>
      <w:r w:rsidR="007B6D10">
        <w:t xml:space="preserve">, </w:t>
      </w:r>
      <w:r>
        <w:t>especialmente de crianças e adolescentes</w:t>
      </w:r>
      <w:r w:rsidR="007B6D10">
        <w:t>,</w:t>
      </w:r>
      <w:r>
        <w:t xml:space="preserve"> durante a experiência de um jogo digital e não sua qualidade técnica ou de entretenimento.</w:t>
      </w:r>
    </w:p>
    <w:p w:rsidR="00303D72" w:rsidRDefault="00000000" w14:paraId="76484391" w14:textId="77777777">
      <w:pPr>
        <w:pStyle w:val="PargrafodaLista"/>
        <w:numPr>
          <w:ilvl w:val="0"/>
          <w:numId w:val="2"/>
        </w:numPr>
        <w:spacing w:after="80"/>
        <w:jc w:val="both"/>
        <w:rPr/>
      </w:pPr>
      <w:r w:rsidRPr="6A60E362" w:rsidR="6A60E362">
        <w:rPr>
          <w:b w:val="1"/>
          <w:bCs w:val="1"/>
        </w:rPr>
        <w:t xml:space="preserve">Seleção da amostra: </w:t>
      </w:r>
      <w:r w:rsidR="6A60E362">
        <w:rPr/>
        <w:t xml:space="preserve">definição dos jogos avaliados (por exemplo, os títulos mais acessados por menores no Brasil), de forma </w:t>
      </w:r>
      <w:commentRangeStart w:id="438610645"/>
      <w:r w:rsidR="6A60E362">
        <w:rPr/>
        <w:t>análoga à seleção das ações mais negociadas no Ibovespa.</w:t>
      </w:r>
      <w:commentRangeEnd w:id="438610645"/>
      <w:r>
        <w:rPr>
          <w:rStyle w:val="CommentReference"/>
        </w:rPr>
        <w:commentReference w:id="438610645"/>
      </w:r>
    </w:p>
    <w:p w:rsidR="00303D72" w:rsidRDefault="00000000" w14:paraId="4D5502AB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Definição de pesos (ponderação): </w:t>
      </w:r>
      <w:r>
        <w:t>nem todo risco tem a mesma gravidade; elementos mais nocivos recebem peso maior, refletindo seu impacto real sobre o usuário (detalhado na Seção 6).</w:t>
      </w:r>
    </w:p>
    <w:p w:rsidR="00303D72" w:rsidRDefault="00000000" w14:paraId="515430AA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Coleta e agregação: </w:t>
      </w:r>
      <w:r>
        <w:t>os elementos são observados periodicamente e combinados por média ponderada.</w:t>
      </w:r>
    </w:p>
    <w:p w:rsidR="00303D72" w:rsidRDefault="00000000" w14:paraId="25DBBBBB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Cálculo comparativo: </w:t>
      </w:r>
      <w:r>
        <w:t>o resultado bruto é convertido em um número-índice a partir de uma referência, permitindo comparar jogos entre si e ao longo do tempo.</w:t>
      </w:r>
    </w:p>
    <w:p w:rsidR="00303D72" w:rsidRDefault="00000000" w14:paraId="79BDC3D4" w14:textId="77777777">
      <w:pPr>
        <w:pStyle w:val="Ttulo1"/>
      </w:pPr>
      <w:bookmarkStart w:name="_Toc230726747" w:id="7"/>
      <w:r>
        <w:t>5. Elementos Avaliados pelo Índice</w:t>
      </w:r>
      <w:bookmarkEnd w:id="7"/>
    </w:p>
    <w:p w:rsidR="00303D72" w:rsidRDefault="00000000" w14:paraId="000EA67D" w14:textId="77777777">
      <w:pPr>
        <w:spacing w:after="120"/>
        <w:jc w:val="both"/>
      </w:pPr>
      <w:r>
        <w:rPr>
          <w:color w:val="000000"/>
        </w:rPr>
        <w:t>A partir do brainstorm da equipe, os fatores de risco foram organizados em sete elementos. Para cada um, define-se como ele se manifesta (definição operacional), o que permite, na sequência, mensurá-lo.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03D72" w:rsidTr="6A60E362" w14:paraId="66810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P="6A60E362" w:rsidRDefault="00000000" w14:paraId="4D15B04C" w14:textId="77777777">
            <w:pPr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commentRangeStart w:id="640461055"/>
            <w:r w:rsidRPr="6A60E362" w:rsidR="6A60E362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Elemento</w:t>
            </w:r>
            <w:commentRangeEnd w:id="640461055"/>
            <w:r>
              <w:rPr>
                <w:rStyle w:val="CommentReference"/>
              </w:rPr>
              <w:commentReference w:id="640461055"/>
            </w:r>
          </w:p>
        </w:tc>
        <w:tc>
          <w:tcPr>
            <w:tcW w:w="69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541937DD" w14:textId="77777777">
            <w:r>
              <w:rPr>
                <w:b/>
                <w:bCs/>
                <w:color w:val="FFFFFF"/>
                <w:sz w:val="20"/>
                <w:szCs w:val="20"/>
              </w:rPr>
              <w:t>Definição operacional (o que observar)</w:t>
            </w:r>
          </w:p>
        </w:tc>
      </w:tr>
      <w:tr w:rsidR="00303D72" w:rsidTr="6A60E362" w14:paraId="0BA1A3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7E3ACA6E" w14:textId="77777777">
            <w:r>
              <w:rPr>
                <w:b/>
                <w:bCs/>
                <w:color w:val="000000"/>
                <w:sz w:val="20"/>
                <w:szCs w:val="20"/>
              </w:rPr>
              <w:t>E1 — Mecanismos viciantes</w:t>
            </w:r>
          </w:p>
        </w:tc>
        <w:tc>
          <w:tcPr>
            <w:tcW w:w="69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3074CB22" w14:textId="77777777">
            <w:r>
              <w:rPr>
                <w:color w:val="000000"/>
                <w:sz w:val="20"/>
                <w:szCs w:val="20"/>
              </w:rPr>
              <w:t xml:space="preserve">Presença de mecânicas que maximizam o tempo de uso e o retorno compulsivo (recompensas variáveis, </w:t>
            </w:r>
            <w:proofErr w:type="spellStart"/>
            <w:r>
              <w:rPr>
                <w:color w:val="000000"/>
                <w:sz w:val="20"/>
                <w:szCs w:val="20"/>
              </w:rPr>
              <w:t>loot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boxes, sequências diárias obrigatórias). Avaliar se são opcionais ou integrais à experiência.</w:t>
            </w:r>
          </w:p>
        </w:tc>
      </w:tr>
      <w:tr w:rsidR="00303D72" w:rsidTr="6A60E362" w14:paraId="6F173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5317CD7E" w14:textId="77777777">
            <w:r>
              <w:rPr>
                <w:b/>
                <w:bCs/>
                <w:color w:val="000000"/>
                <w:sz w:val="20"/>
                <w:szCs w:val="20"/>
              </w:rPr>
              <w:t>E2 — Táticas psicológicas</w:t>
            </w:r>
          </w:p>
        </w:tc>
        <w:tc>
          <w:tcPr>
            <w:tcW w:w="69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533338CF" w14:textId="77777777">
            <w:r>
              <w:rPr>
                <w:color w:val="000000"/>
                <w:sz w:val="20"/>
                <w:szCs w:val="20"/>
              </w:rPr>
              <w:t>Uso de gatilhos como FOMO (medo de ficar de fora), escassez, contagens regressivas e ofertas por tempo limitado que induzem decisões impulsivas.</w:t>
            </w:r>
          </w:p>
        </w:tc>
      </w:tr>
      <w:tr w:rsidR="00303D72" w:rsidTr="6A60E362" w14:paraId="349F6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686AEF05" w14:textId="77777777">
            <w:r>
              <w:rPr>
                <w:b/>
                <w:bCs/>
                <w:color w:val="000000"/>
                <w:sz w:val="20"/>
                <w:szCs w:val="20"/>
              </w:rPr>
              <w:t>E3 — Coleta de dados e privacidade</w:t>
            </w:r>
          </w:p>
        </w:tc>
        <w:tc>
          <w:tcPr>
            <w:tcW w:w="69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69607618" w14:textId="77777777">
            <w:r>
              <w:rPr>
                <w:color w:val="000000"/>
                <w:sz w:val="20"/>
                <w:szCs w:val="20"/>
              </w:rPr>
              <w:t>Volume e sensibilidade dos dados coletados, transparência da política de privacidade e adequação ao tratamento de dados de menores.</w:t>
            </w:r>
          </w:p>
        </w:tc>
      </w:tr>
      <w:tr w:rsidR="00303D72" w:rsidTr="6A60E362" w14:paraId="5FEE9C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62C20300" w14:textId="77777777">
            <w:r>
              <w:rPr>
                <w:b/>
                <w:bCs/>
                <w:color w:val="000000"/>
                <w:sz w:val="20"/>
                <w:szCs w:val="20"/>
              </w:rPr>
              <w:t>E4 — Chat com outros jogadores</w:t>
            </w:r>
          </w:p>
        </w:tc>
        <w:tc>
          <w:tcPr>
            <w:tcW w:w="69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47FA146E" w14:textId="77777777">
            <w:r>
              <w:rPr>
                <w:color w:val="000000"/>
                <w:sz w:val="20"/>
                <w:szCs w:val="20"/>
              </w:rPr>
              <w:t>Existência de comunicação entre usuários e presença (ou ausência) de moderação, filtros e controles, dado o risco de contato com estranhos.</w:t>
            </w:r>
          </w:p>
        </w:tc>
      </w:tr>
      <w:tr w:rsidR="00303D72" w:rsidTr="6A60E362" w14:paraId="6E180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5FF0DABF" w14:textId="77777777">
            <w:r>
              <w:rPr>
                <w:b/>
                <w:bCs/>
                <w:color w:val="000000"/>
                <w:sz w:val="20"/>
                <w:szCs w:val="20"/>
              </w:rPr>
              <w:t>E5 — Jogabilidade infinita</w:t>
            </w:r>
          </w:p>
        </w:tc>
        <w:tc>
          <w:tcPr>
            <w:tcW w:w="69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3604B81D" w14:textId="77777777">
            <w:r>
              <w:rPr>
                <w:color w:val="000000"/>
                <w:sz w:val="20"/>
                <w:szCs w:val="20"/>
              </w:rPr>
              <w:t>Ausência de pontos naturais de pausa ou encerramento, característica que prolonga sessões indefinidamente.</w:t>
            </w:r>
          </w:p>
        </w:tc>
      </w:tr>
      <w:tr w:rsidR="00303D72" w:rsidTr="6A60E362" w14:paraId="035C02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2B7DF49C" w14:textId="77777777">
            <w:r>
              <w:rPr>
                <w:b/>
                <w:bCs/>
                <w:color w:val="000000"/>
                <w:sz w:val="20"/>
                <w:szCs w:val="20"/>
              </w:rPr>
              <w:t>E6 — Responsabilidade com a saúde do usuário</w:t>
            </w:r>
          </w:p>
        </w:tc>
        <w:tc>
          <w:tcPr>
            <w:tcW w:w="69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1A1DC6B0" w14:textId="77777777">
            <w:r>
              <w:rPr>
                <w:color w:val="000000"/>
                <w:sz w:val="20"/>
                <w:szCs w:val="20"/>
              </w:rPr>
              <w:t>Presença de elementos inerentes à experiência que afetam o bem-estar (pausas sugeridas, limites de tempo, avisos) e em que medida a empresa os incorpora.</w:t>
            </w:r>
          </w:p>
        </w:tc>
      </w:tr>
      <w:tr w:rsidR="00303D72" w:rsidTr="6A60E362" w14:paraId="15522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7BD46F7F" w14:textId="77777777">
            <w:r>
              <w:rPr>
                <w:b/>
                <w:bCs/>
                <w:color w:val="000000"/>
                <w:sz w:val="20"/>
                <w:szCs w:val="20"/>
              </w:rPr>
              <w:t>E7 — Posicionamento da empresa</w:t>
            </w:r>
          </w:p>
        </w:tc>
        <w:tc>
          <w:tcPr>
            <w:tcW w:w="69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1FC64BAE" w14:textId="6848552C">
            <w:r>
              <w:rPr>
                <w:color w:val="000000"/>
                <w:sz w:val="20"/>
                <w:szCs w:val="20"/>
              </w:rPr>
              <w:t xml:space="preserve">Se a empresa se posiciona publicamente sobre segurança infantil e assume compromissos explícitos, ou se permanece </w:t>
            </w:r>
            <w:r w:rsidR="007B6D10">
              <w:rPr>
                <w:color w:val="000000"/>
                <w:sz w:val="20"/>
                <w:szCs w:val="20"/>
              </w:rPr>
              <w:t>em silêncio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:rsidR="00303D72" w:rsidRDefault="00000000" w14:paraId="0B73CBC7" w14:textId="77777777">
      <w:pPr>
        <w:pStyle w:val="Ttulo1"/>
      </w:pPr>
      <w:bookmarkStart w:name="_Toc230726748" w:id="8"/>
      <w:r>
        <w:t>6. Ponderação dos Elementos</w:t>
      </w:r>
      <w:bookmarkEnd w:id="8"/>
    </w:p>
    <w:p w:rsidR="00303D72" w:rsidRDefault="00000000" w14:paraId="745D55B3" w14:textId="77777777">
      <w:pPr>
        <w:spacing w:after="120"/>
        <w:jc w:val="both"/>
      </w:pPr>
      <w:r>
        <w:rPr>
          <w:color w:val="000000"/>
        </w:rPr>
        <w:lastRenderedPageBreak/>
        <w:t>A equipe estabeleceu uma hierarquia de gravidade entre os elementos. A tabela abaixo organiza essa hierarquia em níveis, do mais grave ao menos grave, que orientarão a atribuição de pesos no cálculo (a definição numérica exata dos pesos será objeto de etapa posterior).</w:t>
      </w:r>
    </w:p>
    <w:p w:rsidR="00303D72" w:rsidRDefault="00303D72" w14:paraId="3BADAE03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460"/>
        <w:gridCol w:w="2400"/>
      </w:tblGrid>
      <w:tr w:rsidR="00303D72" w14:paraId="43625C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10F977D8" w14:textId="77777777"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5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4D774946" w14:textId="77777777">
            <w:r>
              <w:rPr>
                <w:b/>
                <w:bCs/>
                <w:color w:val="FFFFFF"/>
                <w:sz w:val="20"/>
                <w:szCs w:val="20"/>
              </w:rPr>
              <w:t>Elemento(s)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7442D7EC" w14:textId="77777777">
            <w:r>
              <w:rPr>
                <w:b/>
                <w:bCs/>
                <w:color w:val="FFFFFF"/>
                <w:sz w:val="20"/>
                <w:szCs w:val="20"/>
              </w:rPr>
              <w:t>Ponderação</w:t>
            </w:r>
          </w:p>
        </w:tc>
      </w:tr>
      <w:tr w:rsidR="00303D72" w14:paraId="6DBF64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2F797264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Nível 1(mais grave)</w:t>
            </w:r>
          </w:p>
        </w:tc>
        <w:tc>
          <w:tcPr>
            <w:tcW w:w="5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61264530" w14:textId="77777777">
            <w:r>
              <w:rPr>
                <w:color w:val="000000"/>
                <w:sz w:val="20"/>
                <w:szCs w:val="20"/>
              </w:rPr>
              <w:t xml:space="preserve">Mecanismos </w:t>
            </w:r>
            <w:proofErr w:type="gramStart"/>
            <w:r>
              <w:rPr>
                <w:color w:val="000000"/>
                <w:sz w:val="20"/>
                <w:szCs w:val="20"/>
              </w:rPr>
              <w:t>viciantes  •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Táticas psicológicas (FOMO etc.)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14391AA2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Peso máximo</w:t>
            </w:r>
          </w:p>
        </w:tc>
      </w:tr>
      <w:tr w:rsidR="00303D72" w14:paraId="7BBDF0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62781206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Nível 2</w:t>
            </w:r>
          </w:p>
        </w:tc>
        <w:tc>
          <w:tcPr>
            <w:tcW w:w="5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33585C9A" w14:textId="77777777">
            <w:r>
              <w:rPr>
                <w:color w:val="000000"/>
                <w:sz w:val="20"/>
                <w:szCs w:val="20"/>
              </w:rPr>
              <w:t>Coleta de dados / privacidade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5FE5536A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Peso alto</w:t>
            </w:r>
          </w:p>
        </w:tc>
      </w:tr>
      <w:tr w:rsidR="00303D72" w14:paraId="184979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40C747FC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Nível 3</w:t>
            </w:r>
          </w:p>
        </w:tc>
        <w:tc>
          <w:tcPr>
            <w:tcW w:w="5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3821634B" w14:textId="77777777">
            <w:r>
              <w:rPr>
                <w:color w:val="000000"/>
                <w:sz w:val="20"/>
                <w:szCs w:val="20"/>
              </w:rPr>
              <w:t>Chat com outros jogadores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73EAF86E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Peso médio</w:t>
            </w:r>
          </w:p>
        </w:tc>
      </w:tr>
      <w:tr w:rsidR="00303D72" w14:paraId="3D1EEF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55B54FD2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Nível 4</w:t>
            </w:r>
          </w:p>
        </w:tc>
        <w:tc>
          <w:tcPr>
            <w:tcW w:w="5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27C4074E" w14:textId="77777777">
            <w:r>
              <w:rPr>
                <w:color w:val="000000"/>
                <w:sz w:val="20"/>
                <w:szCs w:val="20"/>
              </w:rPr>
              <w:t xml:space="preserve">Jogabilidade </w:t>
            </w:r>
            <w:proofErr w:type="gramStart"/>
            <w:r>
              <w:rPr>
                <w:color w:val="000000"/>
                <w:sz w:val="20"/>
                <w:szCs w:val="20"/>
              </w:rPr>
              <w:t>infinita  •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Responsabilidade com a saúde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2658F0E9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Peso moderado</w:t>
            </w:r>
          </w:p>
        </w:tc>
      </w:tr>
      <w:tr w:rsidR="00303D72" w14:paraId="39A11C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66DB331F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Nível 5(menor)</w:t>
            </w:r>
          </w:p>
        </w:tc>
        <w:tc>
          <w:tcPr>
            <w:tcW w:w="5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02452B58" w14:textId="77777777">
            <w:r>
              <w:rPr>
                <w:color w:val="000000"/>
                <w:sz w:val="20"/>
                <w:szCs w:val="20"/>
              </w:rPr>
              <w:t>Posicionamento da empresa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329C84D8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Peso baixo</w:t>
            </w:r>
          </w:p>
        </w:tc>
      </w:tr>
    </w:tbl>
    <w:p w:rsidR="00303D72" w:rsidRDefault="00000000" w14:paraId="74E075E2" w14:textId="15058FF2">
      <w:pPr>
        <w:spacing w:before="120" w:after="120"/>
      </w:pPr>
      <w:r>
        <w:rPr>
          <w:b/>
          <w:bCs/>
          <w:color w:val="595959"/>
          <w:sz w:val="20"/>
          <w:szCs w:val="20"/>
        </w:rPr>
        <w:t xml:space="preserve">Ponto para discussão com o orientador: </w:t>
      </w:r>
      <w:r>
        <w:rPr>
          <w:i/>
          <w:iCs/>
          <w:color w:val="595959"/>
          <w:sz w:val="20"/>
          <w:szCs w:val="20"/>
        </w:rPr>
        <w:t>a hierarquia acima reflete o juízo da equipe e deve ser validad</w:t>
      </w:r>
      <w:r w:rsidR="007B6D10">
        <w:rPr>
          <w:i/>
          <w:iCs/>
          <w:color w:val="595959"/>
          <w:sz w:val="20"/>
          <w:szCs w:val="20"/>
        </w:rPr>
        <w:t>e,</w:t>
      </w:r>
      <w:r>
        <w:rPr>
          <w:i/>
          <w:iCs/>
          <w:color w:val="595959"/>
          <w:sz w:val="20"/>
          <w:szCs w:val="20"/>
        </w:rPr>
        <w:t xml:space="preserve"> por exemplo, por consulta a especialistas ou referências da literatura</w:t>
      </w:r>
      <w:r w:rsidR="007B6D10">
        <w:rPr>
          <w:i/>
          <w:iCs/>
          <w:color w:val="595959"/>
          <w:sz w:val="20"/>
          <w:szCs w:val="20"/>
        </w:rPr>
        <w:t>,</w:t>
      </w:r>
      <w:r>
        <w:rPr>
          <w:i/>
          <w:iCs/>
          <w:color w:val="595959"/>
          <w:sz w:val="20"/>
          <w:szCs w:val="20"/>
        </w:rPr>
        <w:t xml:space="preserve"> para reduzir subjetividade na ponderação.</w:t>
      </w:r>
    </w:p>
    <w:p w:rsidR="00303D72" w:rsidRDefault="00000000" w14:paraId="6217569C" w14:textId="77777777">
      <w:pPr>
        <w:pStyle w:val="Ttulo1"/>
      </w:pPr>
      <w:bookmarkStart w:name="_Toc230726749" w:id="9"/>
      <w:r>
        <w:t>7. Fontes de Dados por Elemento</w:t>
      </w:r>
      <w:bookmarkEnd w:id="9"/>
    </w:p>
    <w:p w:rsidR="00303D72" w:rsidRDefault="00000000" w14:paraId="34629416" w14:textId="77777777">
      <w:pPr>
        <w:spacing w:after="120"/>
        <w:jc w:val="both"/>
      </w:pPr>
      <w:r>
        <w:rPr>
          <w:color w:val="000000"/>
        </w:rPr>
        <w:t>Esta seção responde à pergunta de onde extrair as informações que compõem cada elemento. As fontes combinam três naturezas: teste prático (a própria equipe joga e observa), documentação oficial (lojas, termos, sites das empresas) e referências externas (sistemas de classificação e literatura).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303D72" w:rsidTr="6A60E362" w14:paraId="244AF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44D7DBAB" w14:textId="77777777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43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28131A7F" w14:textId="77777777">
            <w:r>
              <w:rPr>
                <w:b/>
                <w:bCs/>
                <w:color w:val="FFFFFF"/>
                <w:sz w:val="20"/>
                <w:szCs w:val="20"/>
              </w:rPr>
              <w:t>Como observar</w:t>
            </w:r>
          </w:p>
        </w:tc>
        <w:tc>
          <w:tcPr>
            <w:tcW w:w="2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7FEC38C6" w14:textId="77777777">
            <w:r>
              <w:rPr>
                <w:b/>
                <w:bCs/>
                <w:color w:val="FFFFFF"/>
                <w:sz w:val="20"/>
                <w:szCs w:val="20"/>
              </w:rPr>
              <w:t>Onde coletar (fontes)</w:t>
            </w:r>
          </w:p>
        </w:tc>
      </w:tr>
      <w:tr w:rsidR="00303D72" w:rsidTr="6A60E362" w14:paraId="410E7C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6C0FE7ED" w14:textId="77777777">
            <w:r>
              <w:rPr>
                <w:b/>
                <w:bCs/>
                <w:color w:val="000000"/>
                <w:sz w:val="19"/>
                <w:szCs w:val="19"/>
              </w:rPr>
              <w:t>E1 — Mecanismos viciantes</w:t>
            </w:r>
          </w:p>
        </w:tc>
        <w:tc>
          <w:tcPr>
            <w:tcW w:w="43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394155C0" w14:textId="77777777">
            <w:r>
              <w:rPr>
                <w:color w:val="000000"/>
                <w:sz w:val="19"/>
                <w:szCs w:val="19"/>
              </w:rPr>
              <w:t xml:space="preserve">Inspeção direta do jogo; descrição na loja; presença de </w:t>
            </w:r>
            <w:proofErr w:type="spellStart"/>
            <w:r>
              <w:rPr>
                <w:color w:val="000000"/>
                <w:sz w:val="19"/>
                <w:szCs w:val="19"/>
              </w:rPr>
              <w:t>loot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boxes e recompensas variáveis.</w:t>
            </w:r>
          </w:p>
        </w:tc>
        <w:tc>
          <w:tcPr>
            <w:tcW w:w="2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1A837AE6" w14:textId="77777777">
            <w:commentRangeStart w:id="1732935247"/>
            <w:r w:rsidRPr="6A60E362" w:rsidR="6A60E362">
              <w:rPr>
                <w:color w:val="000000" w:themeColor="text1" w:themeTint="FF" w:themeShade="FF"/>
                <w:sz w:val="19"/>
                <w:szCs w:val="19"/>
              </w:rPr>
              <w:t>Teste prático;</w:t>
            </w:r>
            <w:commentRangeEnd w:id="1732935247"/>
            <w:r>
              <w:rPr>
                <w:rStyle w:val="CommentReference"/>
              </w:rPr>
              <w:commentReference w:id="1732935247"/>
            </w:r>
            <w:r w:rsidRPr="6A60E362" w:rsidR="6A60E362">
              <w:rPr>
                <w:color w:val="000000" w:themeColor="text1" w:themeTint="FF" w:themeShade="FF"/>
                <w:sz w:val="19"/>
                <w:szCs w:val="19"/>
              </w:rPr>
              <w:t xml:space="preserve"> App Store / Google Play / </w:t>
            </w:r>
            <w:r w:rsidRPr="6A60E362" w:rsidR="6A60E362">
              <w:rPr>
                <w:color w:val="000000" w:themeColor="text1" w:themeTint="FF" w:themeShade="FF"/>
                <w:sz w:val="19"/>
                <w:szCs w:val="19"/>
              </w:rPr>
              <w:t>Steam</w:t>
            </w:r>
            <w:r w:rsidRPr="6A60E362" w:rsidR="6A60E362">
              <w:rPr>
                <w:color w:val="000000" w:themeColor="text1" w:themeTint="FF" w:themeShade="FF"/>
                <w:sz w:val="19"/>
                <w:szCs w:val="19"/>
              </w:rPr>
              <w:t xml:space="preserve">; classificações (PEGI, ESRB, </w:t>
            </w:r>
            <w:r w:rsidRPr="6A60E362" w:rsidR="6A60E362">
              <w:rPr>
                <w:color w:val="000000" w:themeColor="text1" w:themeTint="FF" w:themeShade="FF"/>
                <w:sz w:val="19"/>
                <w:szCs w:val="19"/>
              </w:rPr>
              <w:t>ClassInd</w:t>
            </w:r>
            <w:r w:rsidRPr="6A60E362" w:rsidR="6A60E362">
              <w:rPr>
                <w:color w:val="000000" w:themeColor="text1" w:themeTint="FF" w:themeShade="FF"/>
                <w:sz w:val="19"/>
                <w:szCs w:val="19"/>
              </w:rPr>
              <w:t>).</w:t>
            </w:r>
          </w:p>
        </w:tc>
      </w:tr>
      <w:tr w:rsidR="00303D72" w:rsidTr="6A60E362" w14:paraId="3ACF07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63C58EBD" w14:textId="77777777">
            <w:r>
              <w:rPr>
                <w:b/>
                <w:bCs/>
                <w:color w:val="000000"/>
                <w:sz w:val="19"/>
                <w:szCs w:val="19"/>
              </w:rPr>
              <w:t>E2 — Táticas psicológicas</w:t>
            </w:r>
          </w:p>
        </w:tc>
        <w:tc>
          <w:tcPr>
            <w:tcW w:w="43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2D01E724" w14:textId="77777777">
            <w:r>
              <w:rPr>
                <w:color w:val="000000"/>
                <w:sz w:val="19"/>
                <w:szCs w:val="19"/>
              </w:rPr>
              <w:t>Observação da interface; capturas de ofertas, contadores e mensagens de urgência.</w:t>
            </w:r>
          </w:p>
        </w:tc>
        <w:tc>
          <w:tcPr>
            <w:tcW w:w="2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3D0D1AEF" w14:textId="77777777">
            <w:r>
              <w:rPr>
                <w:color w:val="000000"/>
                <w:sz w:val="19"/>
                <w:szCs w:val="19"/>
              </w:rPr>
              <w:t xml:space="preserve">Teste prático documentado; estudos sobre </w:t>
            </w:r>
            <w:proofErr w:type="spellStart"/>
            <w:r>
              <w:rPr>
                <w:color w:val="000000"/>
                <w:sz w:val="19"/>
                <w:szCs w:val="19"/>
              </w:rPr>
              <w:t>dark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patterns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03D72" w:rsidTr="6A60E362" w14:paraId="262A1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336F3B41" w14:textId="77777777">
            <w:r>
              <w:rPr>
                <w:b/>
                <w:bCs/>
                <w:color w:val="000000"/>
                <w:sz w:val="19"/>
                <w:szCs w:val="19"/>
              </w:rPr>
              <w:t>E3 — Coleta de dados / privacidade</w:t>
            </w:r>
          </w:p>
        </w:tc>
        <w:tc>
          <w:tcPr>
            <w:tcW w:w="43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4D40FCA3" w14:textId="77777777">
            <w:r>
              <w:rPr>
                <w:color w:val="000000"/>
                <w:sz w:val="19"/>
                <w:szCs w:val="19"/>
              </w:rPr>
              <w:t>Leitura da política de privacidade e dos termos; permissões solicitadas pelo app.</w:t>
            </w:r>
          </w:p>
        </w:tc>
        <w:tc>
          <w:tcPr>
            <w:tcW w:w="2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5128D2C1" w14:textId="77777777">
            <w:r>
              <w:rPr>
                <w:color w:val="000000"/>
                <w:sz w:val="19"/>
                <w:szCs w:val="19"/>
              </w:rPr>
              <w:t>Política de privacidade; ficha de permissões nas lojas; referências da ANPD.</w:t>
            </w:r>
          </w:p>
        </w:tc>
      </w:tr>
      <w:tr w:rsidR="00303D72" w:rsidTr="6A60E362" w14:paraId="5B1095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370BF14E" w14:textId="77777777">
            <w:r>
              <w:rPr>
                <w:b/>
                <w:bCs/>
                <w:color w:val="000000"/>
                <w:sz w:val="19"/>
                <w:szCs w:val="19"/>
              </w:rPr>
              <w:t>E4 — Chat com outros jogadores</w:t>
            </w:r>
          </w:p>
        </w:tc>
        <w:tc>
          <w:tcPr>
            <w:tcW w:w="43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60350A10" w14:textId="77777777">
            <w:r>
              <w:rPr>
                <w:color w:val="000000"/>
                <w:sz w:val="19"/>
                <w:szCs w:val="19"/>
              </w:rPr>
              <w:t>Verificação de chat (texto/voz) e dos controles de moderação e filtro.</w:t>
            </w:r>
          </w:p>
        </w:tc>
        <w:tc>
          <w:tcPr>
            <w:tcW w:w="2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6DCFE1A6" w14:textId="77777777">
            <w:r>
              <w:rPr>
                <w:color w:val="000000"/>
                <w:sz w:val="19"/>
                <w:szCs w:val="19"/>
              </w:rPr>
              <w:t>Teste prático; central de ajuda do jogo; controles parentais.</w:t>
            </w:r>
          </w:p>
        </w:tc>
      </w:tr>
      <w:tr w:rsidR="00303D72" w:rsidTr="6A60E362" w14:paraId="7DA121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263E0426" w14:textId="77777777">
            <w:r>
              <w:rPr>
                <w:b/>
                <w:bCs/>
                <w:color w:val="000000"/>
                <w:sz w:val="19"/>
                <w:szCs w:val="19"/>
              </w:rPr>
              <w:t>E5 — Jogabilidade infinita</w:t>
            </w:r>
          </w:p>
        </w:tc>
        <w:tc>
          <w:tcPr>
            <w:tcW w:w="43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3431DB9B" w14:textId="77777777">
            <w:r>
              <w:rPr>
                <w:color w:val="000000"/>
                <w:sz w:val="19"/>
                <w:szCs w:val="19"/>
              </w:rPr>
              <w:t>Identificação de pontos de término ou pausa natural na estrutura.</w:t>
            </w:r>
          </w:p>
        </w:tc>
        <w:tc>
          <w:tcPr>
            <w:tcW w:w="2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77C28CD1" w14:textId="77777777">
            <w:r>
              <w:rPr>
                <w:color w:val="000000"/>
                <w:sz w:val="19"/>
                <w:szCs w:val="19"/>
              </w:rPr>
              <w:t>Teste prático; análise de game design; descrição do produto.</w:t>
            </w:r>
          </w:p>
        </w:tc>
      </w:tr>
      <w:tr w:rsidR="00303D72" w:rsidTr="6A60E362" w14:paraId="5D6D6E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297C704B" w14:textId="77777777">
            <w:r>
              <w:rPr>
                <w:b/>
                <w:bCs/>
                <w:color w:val="000000"/>
                <w:sz w:val="19"/>
                <w:szCs w:val="19"/>
              </w:rPr>
              <w:t>E6 — Saúde do usuário</w:t>
            </w:r>
          </w:p>
        </w:tc>
        <w:tc>
          <w:tcPr>
            <w:tcW w:w="43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25ECBEFF" w14:textId="77777777">
            <w:r>
              <w:rPr>
                <w:color w:val="000000"/>
                <w:sz w:val="19"/>
                <w:szCs w:val="19"/>
              </w:rPr>
              <w:t>Verificação de avisos de tempo, lembretes de pausa e limites configuráveis.</w:t>
            </w:r>
          </w:p>
        </w:tc>
        <w:tc>
          <w:tcPr>
            <w:tcW w:w="2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0667F6A3" w14:textId="77777777">
            <w:r>
              <w:rPr>
                <w:color w:val="000000"/>
                <w:sz w:val="19"/>
                <w:szCs w:val="19"/>
              </w:rPr>
              <w:t>Teste prático; configurações do jogo; controles parentais da plataforma.</w:t>
            </w:r>
          </w:p>
        </w:tc>
      </w:tr>
      <w:tr w:rsidR="00303D72" w:rsidTr="6A60E362" w14:paraId="4B614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4A467921" w14:textId="77777777">
            <w:r>
              <w:rPr>
                <w:b/>
                <w:bCs/>
                <w:color w:val="000000"/>
                <w:sz w:val="19"/>
                <w:szCs w:val="19"/>
              </w:rPr>
              <w:t>E7 — Posicionamento da empresa</w:t>
            </w:r>
          </w:p>
        </w:tc>
        <w:tc>
          <w:tcPr>
            <w:tcW w:w="43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0CA1D5D0" w14:textId="77777777">
            <w:r>
              <w:rPr>
                <w:color w:val="000000"/>
                <w:sz w:val="19"/>
                <w:szCs w:val="19"/>
              </w:rPr>
              <w:t>Busca por declarações públicas e compromissos formais de segurança infantil.</w:t>
            </w:r>
          </w:p>
        </w:tc>
        <w:tc>
          <w:tcPr>
            <w:tcW w:w="2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3D72" w:rsidRDefault="00000000" w14:paraId="3794327A" w14:textId="77777777">
            <w:r>
              <w:rPr>
                <w:color w:val="000000"/>
                <w:sz w:val="19"/>
                <w:szCs w:val="19"/>
              </w:rPr>
              <w:t>Site oficial e sala de imprensa; relatórios de transparência; notícias.</w:t>
            </w:r>
          </w:p>
        </w:tc>
      </w:tr>
    </w:tbl>
    <w:p w:rsidR="00303D72" w:rsidRDefault="00303D72" w14:paraId="6E2F5883" w14:textId="77777777">
      <w:pPr>
        <w:spacing w:before="140"/>
      </w:pPr>
    </w:p>
    <w:p w:rsidR="00303D72" w:rsidRDefault="00000000" w14:paraId="29639719" w14:textId="77777777">
      <w:pPr>
        <w:pStyle w:val="Ttulo3"/>
      </w:pPr>
      <w:bookmarkStart w:name="_Toc230726750" w:id="10"/>
      <w:r>
        <w:t>Lacunas de coleta a enfrentar</w:t>
      </w:r>
      <w:bookmarkEnd w:id="10"/>
    </w:p>
    <w:p w:rsidR="00303D72" w:rsidRDefault="00000000" w14:paraId="6CA85725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Subjetividade da observação: o teste prático depende do avaliador; recomenda-se um protocolo padronizado (roteiro de observação) para garantir consistência entre jogos.</w:t>
      </w:r>
    </w:p>
    <w:p w:rsidR="00303D72" w:rsidRDefault="00000000" w14:paraId="11242812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Acesso pago ou gradual: alguns mecanismos (</w:t>
      </w:r>
      <w:proofErr w:type="spellStart"/>
      <w:r>
        <w:t>loot</w:t>
      </w:r>
      <w:proofErr w:type="spellEnd"/>
      <w:r>
        <w:t xml:space="preserve"> boxes, ofertas com FOMO) só aparecem após horas de jogo ou compras, o que exige tempo de coleta e possível investimento.</w:t>
      </w:r>
    </w:p>
    <w:p w:rsidR="00303D72" w:rsidRDefault="00000000" w14:paraId="3321F74F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Atualizações constantes: jogos mudam com frequência; o índice precisa de uma rotina de reavaliação periódica e de data de referência para cada medição.</w:t>
      </w:r>
    </w:p>
    <w:p w:rsidR="00303D72" w:rsidRDefault="00000000" w14:paraId="39195117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Padronização entre fontes: classificações (PEGI, ESRB, </w:t>
      </w:r>
      <w:proofErr w:type="spellStart"/>
      <w:r>
        <w:t>ClassInd</w:t>
      </w:r>
      <w:proofErr w:type="spellEnd"/>
      <w:r>
        <w:t>) usam critérios distintos; será preciso decidir como compatibilizá-las.</w:t>
      </w:r>
    </w:p>
    <w:p w:rsidR="00303D72" w:rsidRDefault="00000000" w14:paraId="1B48AC76" w14:textId="77777777">
      <w:pPr>
        <w:pStyle w:val="Ttulo1"/>
      </w:pPr>
      <w:bookmarkStart w:name="_Toc230726751" w:id="11"/>
      <w:r>
        <w:t xml:space="preserve">8. </w:t>
      </w:r>
      <w:proofErr w:type="gramStart"/>
      <w:r>
        <w:t>Produto Final</w:t>
      </w:r>
      <w:proofErr w:type="gramEnd"/>
      <w:r>
        <w:t>: Portal de Transparência</w:t>
      </w:r>
      <w:bookmarkEnd w:id="11"/>
    </w:p>
    <w:p w:rsidR="00303D72" w:rsidRDefault="00000000" w14:paraId="4E0CDAD2" w14:textId="77777777">
      <w:pPr>
        <w:spacing w:after="120"/>
        <w:jc w:val="both"/>
      </w:pPr>
      <w:r>
        <w:rPr>
          <w:color w:val="000000"/>
        </w:rPr>
        <w:t>A entrega culmina em um portal web com dois propósitos complementares:</w:t>
      </w:r>
    </w:p>
    <w:p w:rsidR="00303D72" w:rsidRDefault="00000000" w14:paraId="5E338DB8" w14:textId="028CDD08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Transparência metodológica: </w:t>
      </w:r>
      <w:r>
        <w:t>página que explica abertamente como o índice é calculado</w:t>
      </w:r>
      <w:r w:rsidR="007B6D10">
        <w:t>,</w:t>
      </w:r>
      <w:r>
        <w:t xml:space="preserve"> elementos, pesos e fontes, permitindo que qualquer pessoa entenda e questione o método.</w:t>
      </w:r>
    </w:p>
    <w:p w:rsidR="00303D72" w:rsidRDefault="00000000" w14:paraId="7AD0A71A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Avaliação de jogos: </w:t>
      </w:r>
      <w:r>
        <w:t>página por jogo, exibindo a pontuação geral e a abertura por elemento, em formato acessível a jogadores e responsáveis.</w:t>
      </w:r>
    </w:p>
    <w:p w:rsidR="00303D72" w:rsidRDefault="00000000" w14:paraId="31A799CA" w14:textId="77777777">
      <w:pPr>
        <w:spacing w:after="120"/>
        <w:jc w:val="both"/>
      </w:pPr>
      <w:r>
        <w:rPr>
          <w:color w:val="000000"/>
        </w:rPr>
        <w:t>Essa arquitetura aproxima o projeto de iniciativas de “portal da transparência”, em que o valor está tanto no número final quanto na possibilidade de auditar como ele foi obtido.</w:t>
      </w:r>
    </w:p>
    <w:p w:rsidR="00303D72" w:rsidRDefault="00000000" w14:paraId="05C3B247" w14:textId="77777777">
      <w:pPr>
        <w:pStyle w:val="Ttulo1"/>
      </w:pPr>
      <w:bookmarkStart w:name="_Toc230726752" w:id="12"/>
      <w:r>
        <w:t>9. Próximos Passos Sugeridos</w:t>
      </w:r>
      <w:bookmarkEnd w:id="12"/>
    </w:p>
    <w:p w:rsidR="00303D72" w:rsidRDefault="00000000" w14:paraId="3F9B03BE" w14:textId="77777777">
      <w:pPr>
        <w:pStyle w:val="PargrafodaLista"/>
        <w:numPr>
          <w:ilvl w:val="0"/>
          <w:numId w:val="3"/>
        </w:numPr>
        <w:spacing w:after="80"/>
        <w:jc w:val="both"/>
      </w:pPr>
      <w:r>
        <w:t>Validar com o orientador o escopo e a hierarquia de pesos apresentados.</w:t>
      </w:r>
    </w:p>
    <w:p w:rsidR="00303D72" w:rsidRDefault="00000000" w14:paraId="38EB6179" w14:textId="77777777">
      <w:pPr>
        <w:pStyle w:val="PargrafodaLista"/>
        <w:numPr>
          <w:ilvl w:val="0"/>
          <w:numId w:val="3"/>
        </w:numPr>
        <w:spacing w:after="80"/>
        <w:jc w:val="both"/>
      </w:pPr>
      <w:r>
        <w:t>Definir o método numérico de ponderação e a fórmula de agregação.</w:t>
      </w:r>
    </w:p>
    <w:p w:rsidR="00303D72" w:rsidRDefault="00000000" w14:paraId="39072371" w14:textId="77777777">
      <w:pPr>
        <w:pStyle w:val="PargrafodaLista"/>
        <w:numPr>
          <w:ilvl w:val="0"/>
          <w:numId w:val="3"/>
        </w:numPr>
        <w:spacing w:after="80"/>
        <w:jc w:val="both"/>
      </w:pPr>
      <w:r>
        <w:t>Elaborar o protocolo padronizado de observação (roteiro de teste prático).</w:t>
      </w:r>
    </w:p>
    <w:p w:rsidR="00303D72" w:rsidRDefault="00000000" w14:paraId="61E780A3" w14:textId="77777777">
      <w:pPr>
        <w:pStyle w:val="PargrafodaLista"/>
        <w:numPr>
          <w:ilvl w:val="0"/>
          <w:numId w:val="3"/>
        </w:numPr>
        <w:spacing w:after="80"/>
        <w:jc w:val="both"/>
      </w:pPr>
      <w:r>
        <w:t>Selecionar a amostra inicial de jogos para um piloto.</w:t>
      </w:r>
    </w:p>
    <w:p w:rsidR="00303D72" w:rsidRDefault="00000000" w14:paraId="093EDE36" w14:textId="77777777">
      <w:pPr>
        <w:pStyle w:val="PargrafodaLista"/>
        <w:numPr>
          <w:ilvl w:val="0"/>
          <w:numId w:val="3"/>
        </w:numPr>
        <w:spacing w:after="80"/>
        <w:jc w:val="both"/>
      </w:pPr>
      <w:r>
        <w:t xml:space="preserve">Aplicar o piloto, revisar a metodologia e </w:t>
      </w:r>
      <w:proofErr w:type="spellStart"/>
      <w:r>
        <w:t>prototipar</w:t>
      </w:r>
      <w:proofErr w:type="spellEnd"/>
      <w:r>
        <w:t xml:space="preserve"> o portal.</w:t>
      </w:r>
    </w:p>
    <w:p w:rsidR="00303D72" w:rsidRDefault="00000000" w14:paraId="4BDF6DCC" w14:textId="77777777">
      <w:pPr>
        <w:pStyle w:val="Ttulo1"/>
      </w:pPr>
      <w:bookmarkStart w:name="_Toc230726753" w:id="13"/>
      <w:r>
        <w:t>10. Pontos em Aberto para a Reunião</w:t>
      </w:r>
      <w:bookmarkEnd w:id="13"/>
    </w:p>
    <w:p w:rsidR="00303D72" w:rsidRDefault="00000000" w14:paraId="5583FD14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Como reduzir a subjetividade na atribuição dos pesos?</w:t>
      </w:r>
    </w:p>
    <w:p w:rsidR="00303D72" w:rsidRDefault="00000000" w14:paraId="4390DD87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Qual o recorte da amostra inicial de jogos (gênero, plataforma, faixa etária-alvo)?</w:t>
      </w:r>
    </w:p>
    <w:p w:rsidR="00303D72" w:rsidRDefault="00000000" w14:paraId="278F6826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O índice será absoluto (nota fixa) ou comparativo (relativo a uma referência)?</w:t>
      </w:r>
    </w:p>
    <w:p w:rsidR="00303D72" w:rsidRDefault="00000000" w14:paraId="439B470E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Com que periodicidade os jogos serão reavaliados?</w:t>
      </w:r>
    </w:p>
    <w:p w:rsidR="00303D72" w:rsidRDefault="00000000" w14:paraId="3701C857" w14:textId="77777777">
      <w:pPr>
        <w:pStyle w:val="PargrafodaLista"/>
        <w:numPr>
          <w:ilvl w:val="0"/>
          <w:numId w:val="2"/>
        </w:numPr>
        <w:spacing w:after="80"/>
        <w:jc w:val="both"/>
      </w:pPr>
      <w:r>
        <w:t>Que vínculo formal o projeto pode ter com os critérios explícitos do ECA Digital?</w:t>
      </w:r>
    </w:p>
    <w:sectPr w:rsidR="00303D72">
      <w:footerReference w:type="default" r:id="rId7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UC" w:author="Usuário Convidado" w:date="2026-05-27T09:00:40" w:id="497930984">
    <w:p xmlns:w14="http://schemas.microsoft.com/office/word/2010/wordml" xmlns:w="http://schemas.openxmlformats.org/wordprocessingml/2006/main" w:rsidR="45E17354" w:rsidRDefault="1D474D80" w14:paraId="2AB633EC" w14:textId="32FD40F4">
      <w:pPr>
        <w:pStyle w:val="CommentText"/>
      </w:pPr>
      <w:r>
        <w:rPr>
          <w:rStyle w:val="CommentReference"/>
        </w:rPr>
        <w:annotationRef/>
      </w:r>
      <w:r w:rsidRPr="2852B00F" w:rsidR="05399650">
        <w:t>sintetiza</w:t>
      </w:r>
    </w:p>
  </w:comment>
  <w:comment xmlns:w="http://schemas.openxmlformats.org/wordprocessingml/2006/main" w:initials="UC" w:author="Usuário Convidado" w:date="2026-05-27T09:01:02" w:id="1036584281">
    <w:p xmlns:w14="http://schemas.microsoft.com/office/word/2010/wordml" xmlns:w="http://schemas.openxmlformats.org/wordprocessingml/2006/main" w:rsidR="181FED78" w:rsidRDefault="58D65359" w14:paraId="67F03EE8" w14:textId="0CD472A5">
      <w:pPr>
        <w:pStyle w:val="CommentText"/>
      </w:pPr>
      <w:r>
        <w:rPr>
          <w:rStyle w:val="CommentReference"/>
        </w:rPr>
        <w:annotationRef/>
      </w:r>
      <w:r w:rsidRPr="074865C6" w:rsidR="7462CF7A">
        <w:t>indice</w:t>
      </w:r>
    </w:p>
  </w:comment>
  <w:comment xmlns:w="http://schemas.openxmlformats.org/wordprocessingml/2006/main" w:initials="UC" w:author="Usuário Convidado" w:date="2026-05-27T09:05:09" w:id="438610645">
    <w:p xmlns:w14="http://schemas.microsoft.com/office/word/2010/wordml" xmlns:w="http://schemas.openxmlformats.org/wordprocessingml/2006/main" w:rsidR="6625F862" w:rsidRDefault="73280BCF" w14:paraId="22FC4A04" w14:textId="5E23848A">
      <w:pPr>
        <w:pStyle w:val="CommentText"/>
      </w:pPr>
      <w:r>
        <w:rPr>
          <w:rStyle w:val="CommentReference"/>
        </w:rPr>
        <w:annotationRef/>
      </w:r>
      <w:r w:rsidRPr="70670610" w:rsidR="3DE0505F">
        <w:t>talvez nao seja a melhor comparação</w:t>
      </w:r>
    </w:p>
  </w:comment>
  <w:comment xmlns:w="http://schemas.openxmlformats.org/wordprocessingml/2006/main" w:initials="UC" w:author="Usuário Convidado" w:date="2026-05-27T09:06:46" w:id="640461055">
    <w:p xmlns:w14="http://schemas.microsoft.com/office/word/2010/wordml" xmlns:w="http://schemas.openxmlformats.org/wordprocessingml/2006/main" w:rsidR="3CA18124" w:rsidRDefault="32ED74C1" w14:paraId="792CB87E" w14:textId="45767678">
      <w:pPr>
        <w:pStyle w:val="CommentText"/>
      </w:pPr>
      <w:r>
        <w:rPr>
          <w:rStyle w:val="CommentReference"/>
        </w:rPr>
        <w:annotationRef/>
      </w:r>
      <w:r w:rsidRPr="4D98CF13" w:rsidR="204163A8">
        <w:t>chamaria de dimensão</w:t>
      </w:r>
    </w:p>
  </w:comment>
  <w:comment xmlns:w="http://schemas.openxmlformats.org/wordprocessingml/2006/main" w:initials="UC" w:author="Usuário Convidado" w:date="2026-05-27T09:09:08" w:id="1732935247">
    <w:p xmlns:w14="http://schemas.microsoft.com/office/word/2010/wordml" xmlns:w="http://schemas.openxmlformats.org/wordprocessingml/2006/main" w:rsidR="152B7D86" w:rsidRDefault="6B987F84" w14:paraId="6E001A66" w14:textId="5BD40963">
      <w:pPr>
        <w:pStyle w:val="CommentText"/>
      </w:pPr>
      <w:r>
        <w:rPr>
          <w:rStyle w:val="CommentReference"/>
        </w:rPr>
        <w:annotationRef/>
      </w:r>
      <w:r w:rsidRPr="7090C8B4" w:rsidR="19892912">
        <w:t>de outros jogadores. ou da equipe?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AB633EC"/>
  <w15:commentEx w15:done="0" w15:paraId="67F03EE8"/>
  <w15:commentEx w15:done="0" w15:paraId="22FC4A04"/>
  <w15:commentEx w15:done="0" w15:paraId="792CB87E"/>
  <w15:commentEx w15:done="0" w15:paraId="6E001A6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8FBBC3B" w16cex:dateUtc="2026-05-27T12:00:40.889Z"/>
  <w16cex:commentExtensible w16cex:durableId="5F995DD3" w16cex:dateUtc="2026-05-27T12:01:02.761Z"/>
  <w16cex:commentExtensible w16cex:durableId="74E92186" w16cex:dateUtc="2026-05-27T12:05:09.735Z"/>
  <w16cex:commentExtensible w16cex:durableId="6A0D8DF2" w16cex:dateUtc="2026-05-27T12:06:46.15Z"/>
  <w16cex:commentExtensible w16cex:durableId="457D03CA" w16cex:dateUtc="2026-05-27T12:09:08.93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AB633EC" w16cid:durableId="78FBBC3B"/>
  <w16cid:commentId w16cid:paraId="67F03EE8" w16cid:durableId="5F995DD3"/>
  <w16cid:commentId w16cid:paraId="22FC4A04" w16cid:durableId="74E92186"/>
  <w16cid:commentId w16cid:paraId="792CB87E" w16cid:durableId="6A0D8DF2"/>
  <w16cid:commentId w16cid:paraId="6E001A66" w16cid:durableId="457D03C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665F" w:rsidRDefault="004E665F" w14:paraId="48C06EA0" w14:textId="77777777">
      <w:r>
        <w:separator/>
      </w:r>
    </w:p>
  </w:endnote>
  <w:endnote w:type="continuationSeparator" w:id="0">
    <w:p w:rsidR="004E665F" w:rsidRDefault="004E665F" w14:paraId="2EE954A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3D72" w:rsidRDefault="00000000" w14:paraId="0C3B7BFA" w14:textId="77777777">
    <w:pPr>
      <w:pBdr>
        <w:top w:val="single" w:color="BFBFBF" w:sz="4" w:space="6"/>
      </w:pBdr>
      <w:jc w:val="center"/>
    </w:pPr>
    <w:r>
      <w:rPr>
        <w:color w:val="595959"/>
        <w:sz w:val="16"/>
        <w:szCs w:val="16"/>
      </w:rPr>
      <w:t xml:space="preserve">FGV Quest — Índice de Segurança do Jogador   |  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B6D1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665F" w:rsidRDefault="004E665F" w14:paraId="1E89FB83" w14:textId="77777777">
      <w:r>
        <w:separator/>
      </w:r>
    </w:p>
  </w:footnote>
  <w:footnote w:type="continuationSeparator" w:id="0">
    <w:p w:rsidR="004E665F" w:rsidRDefault="004E665F" w14:paraId="60702D9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D80"/>
    <w:multiLevelType w:val="hybridMultilevel"/>
    <w:tmpl w:val="848E99DC"/>
    <w:lvl w:ilvl="0" w:tplc="2696A92E">
      <w:start w:val="1"/>
      <w:numFmt w:val="bullet"/>
      <w:lvlText w:val="●"/>
      <w:lvlJc w:val="left"/>
      <w:pPr>
        <w:ind w:left="720" w:hanging="360"/>
      </w:pPr>
    </w:lvl>
    <w:lvl w:ilvl="1" w:tplc="EEB2DC8E">
      <w:start w:val="1"/>
      <w:numFmt w:val="bullet"/>
      <w:lvlText w:val="○"/>
      <w:lvlJc w:val="left"/>
      <w:pPr>
        <w:ind w:left="1440" w:hanging="360"/>
      </w:pPr>
    </w:lvl>
    <w:lvl w:ilvl="2" w:tplc="C76638A0">
      <w:start w:val="1"/>
      <w:numFmt w:val="bullet"/>
      <w:lvlText w:val="■"/>
      <w:lvlJc w:val="left"/>
      <w:pPr>
        <w:ind w:left="2160" w:hanging="360"/>
      </w:pPr>
    </w:lvl>
    <w:lvl w:ilvl="3" w:tplc="D9DE98D2">
      <w:start w:val="1"/>
      <w:numFmt w:val="bullet"/>
      <w:lvlText w:val="●"/>
      <w:lvlJc w:val="left"/>
      <w:pPr>
        <w:ind w:left="2880" w:hanging="360"/>
      </w:pPr>
    </w:lvl>
    <w:lvl w:ilvl="4" w:tplc="1B8E8114">
      <w:start w:val="1"/>
      <w:numFmt w:val="bullet"/>
      <w:lvlText w:val="○"/>
      <w:lvlJc w:val="left"/>
      <w:pPr>
        <w:ind w:left="3600" w:hanging="360"/>
      </w:pPr>
    </w:lvl>
    <w:lvl w:ilvl="5" w:tplc="61DA6546">
      <w:start w:val="1"/>
      <w:numFmt w:val="bullet"/>
      <w:lvlText w:val="■"/>
      <w:lvlJc w:val="left"/>
      <w:pPr>
        <w:ind w:left="4320" w:hanging="360"/>
      </w:pPr>
    </w:lvl>
    <w:lvl w:ilvl="6" w:tplc="8A1AAEB6">
      <w:start w:val="1"/>
      <w:numFmt w:val="bullet"/>
      <w:lvlText w:val="●"/>
      <w:lvlJc w:val="left"/>
      <w:pPr>
        <w:ind w:left="5040" w:hanging="360"/>
      </w:pPr>
    </w:lvl>
    <w:lvl w:ilvl="7" w:tplc="128CE384">
      <w:start w:val="1"/>
      <w:numFmt w:val="bullet"/>
      <w:lvlText w:val="●"/>
      <w:lvlJc w:val="left"/>
      <w:pPr>
        <w:ind w:left="5760" w:hanging="360"/>
      </w:pPr>
    </w:lvl>
    <w:lvl w:ilvl="8" w:tplc="E29E67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217606"/>
    <w:multiLevelType w:val="hybridMultilevel"/>
    <w:tmpl w:val="3E1659E2"/>
    <w:lvl w:ilvl="0" w:tplc="B8E83BDC">
      <w:start w:val="1"/>
      <w:numFmt w:val="decimal"/>
      <w:lvlText w:val="%1."/>
      <w:lvlJc w:val="left"/>
      <w:pPr>
        <w:ind w:left="540" w:hanging="280"/>
      </w:pPr>
    </w:lvl>
    <w:lvl w:ilvl="1" w:tplc="B10815E6">
      <w:numFmt w:val="decimal"/>
      <w:lvlText w:val=""/>
      <w:lvlJc w:val="left"/>
    </w:lvl>
    <w:lvl w:ilvl="2" w:tplc="795C5726">
      <w:numFmt w:val="decimal"/>
      <w:lvlText w:val=""/>
      <w:lvlJc w:val="left"/>
    </w:lvl>
    <w:lvl w:ilvl="3" w:tplc="E12AC6B8">
      <w:numFmt w:val="decimal"/>
      <w:lvlText w:val=""/>
      <w:lvlJc w:val="left"/>
    </w:lvl>
    <w:lvl w:ilvl="4" w:tplc="19AA079C">
      <w:numFmt w:val="decimal"/>
      <w:lvlText w:val=""/>
      <w:lvlJc w:val="left"/>
    </w:lvl>
    <w:lvl w:ilvl="5" w:tplc="69741AF0">
      <w:numFmt w:val="decimal"/>
      <w:lvlText w:val=""/>
      <w:lvlJc w:val="left"/>
    </w:lvl>
    <w:lvl w:ilvl="6" w:tplc="D8ACDB02">
      <w:numFmt w:val="decimal"/>
      <w:lvlText w:val=""/>
      <w:lvlJc w:val="left"/>
    </w:lvl>
    <w:lvl w:ilvl="7" w:tplc="54D02D3C">
      <w:numFmt w:val="decimal"/>
      <w:lvlText w:val=""/>
      <w:lvlJc w:val="left"/>
    </w:lvl>
    <w:lvl w:ilvl="8" w:tplc="CBBED626">
      <w:numFmt w:val="decimal"/>
      <w:lvlText w:val=""/>
      <w:lvlJc w:val="left"/>
    </w:lvl>
  </w:abstractNum>
  <w:abstractNum w:abstractNumId="2" w15:restartNumberingAfterBreak="0">
    <w:nsid w:val="38DE514D"/>
    <w:multiLevelType w:val="hybridMultilevel"/>
    <w:tmpl w:val="66E4D37C"/>
    <w:lvl w:ilvl="0" w:tplc="D0E0BCD4">
      <w:start w:val="1"/>
      <w:numFmt w:val="bullet"/>
      <w:lvlText w:val="•"/>
      <w:lvlJc w:val="left"/>
      <w:pPr>
        <w:ind w:left="540" w:hanging="280"/>
      </w:pPr>
    </w:lvl>
    <w:lvl w:ilvl="1" w:tplc="8B5EFA72">
      <w:numFmt w:val="decimal"/>
      <w:lvlText w:val=""/>
      <w:lvlJc w:val="left"/>
    </w:lvl>
    <w:lvl w:ilvl="2" w:tplc="7DDE49FC">
      <w:numFmt w:val="decimal"/>
      <w:lvlText w:val=""/>
      <w:lvlJc w:val="left"/>
    </w:lvl>
    <w:lvl w:ilvl="3" w:tplc="9A8098B2">
      <w:numFmt w:val="decimal"/>
      <w:lvlText w:val=""/>
      <w:lvlJc w:val="left"/>
    </w:lvl>
    <w:lvl w:ilvl="4" w:tplc="5A422D0E">
      <w:numFmt w:val="decimal"/>
      <w:lvlText w:val=""/>
      <w:lvlJc w:val="left"/>
    </w:lvl>
    <w:lvl w:ilvl="5" w:tplc="ECA4D5B2">
      <w:numFmt w:val="decimal"/>
      <w:lvlText w:val=""/>
      <w:lvlJc w:val="left"/>
    </w:lvl>
    <w:lvl w:ilvl="6" w:tplc="91C6C5D2">
      <w:numFmt w:val="decimal"/>
      <w:lvlText w:val=""/>
      <w:lvlJc w:val="left"/>
    </w:lvl>
    <w:lvl w:ilvl="7" w:tplc="A4724D8E">
      <w:numFmt w:val="decimal"/>
      <w:lvlText w:val=""/>
      <w:lvlJc w:val="left"/>
    </w:lvl>
    <w:lvl w:ilvl="8" w:tplc="9E0A8208">
      <w:numFmt w:val="decimal"/>
      <w:lvlText w:val=""/>
      <w:lvlJc w:val="left"/>
    </w:lvl>
  </w:abstractNum>
  <w:num w:numId="1" w16cid:durableId="65155958">
    <w:abstractNumId w:val="0"/>
    <w:lvlOverride w:ilvl="0">
      <w:startOverride w:val="1"/>
    </w:lvlOverride>
  </w:num>
  <w:num w:numId="2" w16cid:durableId="58208005">
    <w:abstractNumId w:val="2"/>
    <w:lvlOverride w:ilvl="0">
      <w:startOverride w:val="1"/>
    </w:lvlOverride>
  </w:num>
  <w:num w:numId="3" w16cid:durableId="430591612">
    <w:abstractNumId w:val="1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Usuário Convidado">
    <w15:presenceInfo w15:providerId="AD" w15:userId="S::urn:spo:tenantanon#001142fd-c2ac-4dd3-888c-2ec5dc269041::"/>
  </w15:person>
  <w15:person w15:author="Usuário Convidado">
    <w15:presenceInfo w15:providerId="AD" w15:userId="S::urn:spo:tenantanon#001142fd-c2ac-4dd3-888c-2ec5dc269041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72"/>
    <w:rsid w:val="00303D72"/>
    <w:rsid w:val="004E665F"/>
    <w:rsid w:val="007B6D10"/>
    <w:rsid w:val="00C05DDC"/>
    <w:rsid w:val="00DE46DE"/>
    <w:rsid w:val="6A60E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6D82"/>
  <w15:docId w15:val="{2280446C-62F3-43FC-A6B7-166CFC56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pBdr>
        <w:bottom w:val="single" w:color="2E75B6" w:sz="6" w:space="4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1F3864"/>
      <w:sz w:val="25"/>
      <w:szCs w:val="25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B6D1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B6D1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B6D1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omments" Target="comments.xml" Id="Race3d20361774cc8" /><Relationship Type="http://schemas.microsoft.com/office/2016/09/relationships/commentsIds" Target="commentsIds.xml" Id="R7448dd82e05d46e3" /><Relationship Type="http://schemas.microsoft.com/office/2011/relationships/commentsExtended" Target="commentsExtended.xml" Id="R21d72f6a7c2741ed" /><Relationship Type="http://schemas.microsoft.com/office/2018/08/relationships/commentsExtensible" Target="commentsExtensible.xml" Id="Rb921b55b35334e40" /><Relationship Type="http://schemas.microsoft.com/office/2011/relationships/people" Target="people.xml" Id="R021603d54c514fc3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Índice de Segurança do Jogador — Documento de Projeto</dc:title>
  <dc:creator>FGV Quest</dc:creator>
  <lastModifiedBy>Usuário Convidado</lastModifiedBy>
  <revision>4</revision>
  <dcterms:created xsi:type="dcterms:W3CDTF">2026-05-27T01:21:00.0000000Z</dcterms:created>
  <dcterms:modified xsi:type="dcterms:W3CDTF">2026-05-27T12:09:15.0178835Z</dcterms:modified>
</coreProperties>
</file>