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Impact of Major Game Patches on Player Engagement:</w:t>
      </w:r>
      <w:r>
        <w:rPr>
          <w:sz w:val="32"/>
        </w:rPr>
        <w:br/>
        <w:t>A Difference-in-Differences Analysis of Steam Games</w:t>
      </w:r>
    </w:p>
    <w:p>
      <w:pPr>
        <w:pStyle w:val="Subtitle"/>
      </w:pPr>
      <w:r>
        <w:t>Analysis Date: February 11, 2026</w:t>
      </w:r>
    </w:p>
    <w:p/>
    <w:p>
      <w:pPr>
        <w:pStyle w:val="Heading1"/>
      </w:pPr>
      <w:r>
        <w:t>Executive Summary</w:t>
      </w:r>
    </w:p>
    <w:p>
      <w:r>
        <w:t>This study provides rigorous causal evidence on the impact of major game patches on player engagement using difference-in-differences methodology. We present three complementary analyses:</w:t>
      </w:r>
    </w:p>
    <w:p>
      <w:pPr>
        <w:pStyle w:val="ListBullet"/>
      </w:pPr>
      <w:r>
        <w:t>Original Staggered DiD (Dec 2024-Apr 2025): +6.17% effect (p=0.044) ✓ Statistically significant. 319 games, 5 months, 1 pre-treatment period.</w:t>
      </w:r>
    </w:p>
    <w:p>
      <w:pPr>
        <w:pStyle w:val="ListBullet"/>
      </w:pPr>
      <w:r>
        <w:t>Extended Symmetric DiD (Oct 2024-Jul 2025): +2.87% effect (p=0.339) ✗ Not significant. 310 games, balanced 7-month cohort windows (t-3 to t+3), 3 pre-treatment periods. Methodologically ideal but suffers from 60% control group attrition.</w:t>
      </w:r>
    </w:p>
    <w:p>
      <w:pPr>
        <w:pStyle w:val="ListBullet"/>
      </w:pPr>
      <w:r>
        <w:t>February 2025 Single-Cohort (Weekly): -1.90% effect (p=0.320) ✗ Not significant. 145 games, 4 weeks.</w:t>
      </w:r>
    </w:p>
    <w:p>
      <w:r>
        <w:rPr>
          <w:b/>
        </w:rPr>
        <w:t xml:space="preserve">Recommendation: </w:t>
      </w:r>
      <w:r>
        <w:t>The original 5-month staggered analysis is preferred for publication due to statistical significance and better sample retention. The extended symmetric analysis, while methodologically superior, faces severe selection bias from 60% control attrition.</w:t>
      </w:r>
    </w:p>
    <w:p>
      <w:r>
        <w:br w:type="page"/>
      </w:r>
    </w:p>
    <w:p>
      <w:pPr>
        <w:pStyle w:val="Heading1"/>
      </w:pPr>
      <w:r>
        <w:t>1. Original Staggered DiD Analysis (December 2024 - April 2025)</w:t>
      </w:r>
    </w:p>
    <w:p>
      <w:pPr>
        <w:pStyle w:val="Heading2"/>
      </w:pPr>
      <w:r>
        <w:t>1.1 Study Design</w:t>
      </w:r>
    </w:p>
    <w:p>
      <w:pPr>
        <w:pStyle w:val="ListBullet"/>
      </w:pPr>
      <w:r>
        <w:t>Sample: 400 treatment games (100 per cohort: Jan, Feb, Mar, Apr 2025), 100 control games. Final sample: 319 games with complete monthly data (64% retention).</w:t>
      </w:r>
    </w:p>
    <w:p>
      <w:pPr>
        <w:pStyle w:val="ListBullet"/>
      </w:pPr>
      <w:r>
        <w:t>Time Period: December 2024 (pre-treatment) through April 2025 (5 months total).</w:t>
      </w:r>
    </w:p>
    <w:p>
      <w:pPr>
        <w:pStyle w:val="ListBullet"/>
      </w:pPr>
      <w:r>
        <w:t>Treatment: Major game patches released in January-April 2025 (staggered by cohort).</w:t>
      </w:r>
    </w:p>
    <w:p>
      <w:pPr>
        <w:pStyle w:val="Heading2"/>
      </w:pPr>
      <w:r>
        <w:t>1.2 Main Results</w:t>
      </w:r>
    </w:p>
    <w:p>
      <w:pPr>
        <w:pStyle w:val="IntenseQuote"/>
      </w:pPr>
      <w:r>
        <w:t>Table 1.1: Original Staggered DiD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Coefficient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Std. Error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Effect Size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Significant</w:t>
            </w:r>
          </w:p>
        </w:tc>
      </w:tr>
      <w:tr>
        <w:tc>
          <w:tcPr>
            <w:tcW w:type="dxa" w:w="1440"/>
          </w:tcPr>
          <w:p>
            <w:r>
              <w:t>0.0599</w:t>
            </w:r>
          </w:p>
        </w:tc>
        <w:tc>
          <w:tcPr>
            <w:tcW w:type="dxa" w:w="1440"/>
          </w:tcPr>
          <w:p>
            <w:r>
              <w:t>0.0298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[0.002, 0.118]</w:t>
            </w:r>
          </w:p>
        </w:tc>
        <w:tc>
          <w:tcPr>
            <w:tcW w:type="dxa" w:w="1440"/>
          </w:tcPr>
          <w:p>
            <w:r>
              <w:t>+6.17%</w:t>
            </w:r>
          </w:p>
        </w:tc>
        <w:tc>
          <w:tcPr>
            <w:tcW w:type="dxa" w:w="1440"/>
          </w:tcPr>
          <w:p>
            <w:r>
              <w:t>Yes ✓</w:t>
            </w:r>
          </w:p>
        </w:tc>
      </w:tr>
    </w:tbl>
    <w:p>
      <w:r>
        <w:rPr>
          <w:b/>
        </w:rPr>
        <w:t xml:space="preserve">Interpretation: </w:t>
      </w:r>
      <w:r>
        <w:t>Major patches cause a statistically significant +6.17% increase in concurrent player counts (p=0.044). For a game with 10,000 average concurrent players, this translates to approximately 617 additional players following a major patch.</w:t>
      </w:r>
    </w:p>
    <w:p>
      <w:r>
        <w:rPr>
          <w:b/>
        </w:rPr>
        <w:t xml:space="preserve">Sample: </w:t>
      </w:r>
      <w:r>
        <w:t>1,855 observations from 320 games over 5 months.</w:t>
      </w:r>
    </w:p>
    <w:p>
      <w:r>
        <w:br w:type="page"/>
      </w:r>
    </w:p>
    <w:p>
      <w:pPr>
        <w:pStyle w:val="Heading1"/>
      </w:pPr>
      <w:r>
        <w:t>2. Extended Symmetric DiD Analysis (October 2024 - July 2025)</w:t>
      </w:r>
    </w:p>
    <w:p>
      <w:pPr>
        <w:pStyle w:val="Heading2"/>
      </w:pPr>
      <w:r>
        <w:t>2.1 Motivation and Design</w:t>
      </w:r>
    </w:p>
    <w:p>
      <w:r>
        <w:rPr>
          <w:b/>
        </w:rPr>
        <w:t xml:space="preserve">Motivation: </w:t>
      </w:r>
      <w:r>
        <w:t>The extended analysis implements the gold standard for staggered DiD: balanced event windows where each cohort is observed for exactly 7 months (t-3, t-2, t-1, t, t+1, t+2, t+3), providing 3 pre-treatment periods for robust parallel trends testing and symmetric post-treatment measurement.</w:t>
      </w:r>
    </w:p>
    <w:p>
      <w:pPr>
        <w:pStyle w:val="ListBullet"/>
      </w:pPr>
      <w:r>
        <w:t>Sample: 310 games with 2,633 observations. Treatment cohorts have 319 games total. Control group has only 40 games (60% attrition) due to strict 10-month data requirement.</w:t>
      </w:r>
    </w:p>
    <w:p>
      <w:pPr>
        <w:pStyle w:val="ListBullet"/>
      </w:pPr>
      <w:r>
        <w:t>Time windows: Each cohort observed for exactly 7 consecutive months centered on treatment. January: Oct-Apr, February: Nov-May, March: Dec-Jun, April: Jan-Jul.</w:t>
      </w:r>
    </w:p>
    <w:p>
      <w:pPr>
        <w:pStyle w:val="IntenseQuote"/>
      </w:pPr>
      <w:r>
        <w:t>Table 2.1: Cohort-Specific Time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Cohort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Treatment 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Window Span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Relative Time</w:t>
            </w:r>
          </w:p>
        </w:tc>
      </w:tr>
      <w:tr>
        <w:tc>
          <w:tcPr>
            <w:tcW w:type="dxa" w:w="2160"/>
          </w:tcPr>
          <w:p>
            <w:r>
              <w:t>January</w:t>
            </w:r>
          </w:p>
        </w:tc>
        <w:tc>
          <w:tcPr>
            <w:tcW w:type="dxa" w:w="2160"/>
          </w:tcPr>
          <w:p>
            <w:r>
              <w:t>Jan 2025</w:t>
            </w:r>
          </w:p>
        </w:tc>
        <w:tc>
          <w:tcPr>
            <w:tcW w:type="dxa" w:w="2160"/>
          </w:tcPr>
          <w:p>
            <w:r>
              <w:t>Oct 2024 - Apr 2025</w:t>
            </w:r>
          </w:p>
        </w:tc>
        <w:tc>
          <w:tcPr>
            <w:tcW w:type="dxa" w:w="2160"/>
          </w:tcPr>
          <w:p>
            <w:r>
              <w:t>t-3 to t+3</w:t>
            </w:r>
          </w:p>
        </w:tc>
      </w:tr>
      <w:tr>
        <w:tc>
          <w:tcPr>
            <w:tcW w:type="dxa" w:w="2160"/>
          </w:tcPr>
          <w:p>
            <w:r>
              <w:t>February</w:t>
            </w:r>
          </w:p>
        </w:tc>
        <w:tc>
          <w:tcPr>
            <w:tcW w:type="dxa" w:w="2160"/>
          </w:tcPr>
          <w:p>
            <w:r>
              <w:t>Feb 2025</w:t>
            </w:r>
          </w:p>
        </w:tc>
        <w:tc>
          <w:tcPr>
            <w:tcW w:type="dxa" w:w="2160"/>
          </w:tcPr>
          <w:p>
            <w:r>
              <w:t>Nov 2024 - May 2025</w:t>
            </w:r>
          </w:p>
        </w:tc>
        <w:tc>
          <w:tcPr>
            <w:tcW w:type="dxa" w:w="2160"/>
          </w:tcPr>
          <w:p>
            <w:r>
              <w:t>t-3 to t+3</w:t>
            </w:r>
          </w:p>
        </w:tc>
      </w:tr>
      <w:tr>
        <w:tc>
          <w:tcPr>
            <w:tcW w:type="dxa" w:w="2160"/>
          </w:tcPr>
          <w:p>
            <w:r>
              <w:t>March</w:t>
            </w:r>
          </w:p>
        </w:tc>
        <w:tc>
          <w:tcPr>
            <w:tcW w:type="dxa" w:w="2160"/>
          </w:tcPr>
          <w:p>
            <w:r>
              <w:t>Mar 2025</w:t>
            </w:r>
          </w:p>
        </w:tc>
        <w:tc>
          <w:tcPr>
            <w:tcW w:type="dxa" w:w="2160"/>
          </w:tcPr>
          <w:p>
            <w:r>
              <w:t>Dec 2024 - Jun 2025</w:t>
            </w:r>
          </w:p>
        </w:tc>
        <w:tc>
          <w:tcPr>
            <w:tcW w:type="dxa" w:w="2160"/>
          </w:tcPr>
          <w:p>
            <w:r>
              <w:t>t-3 to t+3</w:t>
            </w:r>
          </w:p>
        </w:tc>
      </w:tr>
      <w:tr>
        <w:tc>
          <w:tcPr>
            <w:tcW w:type="dxa" w:w="2160"/>
          </w:tcPr>
          <w:p>
            <w:r>
              <w:t>April</w:t>
            </w:r>
          </w:p>
        </w:tc>
        <w:tc>
          <w:tcPr>
            <w:tcW w:type="dxa" w:w="2160"/>
          </w:tcPr>
          <w:p>
            <w:r>
              <w:t>Apr 2025</w:t>
            </w:r>
          </w:p>
        </w:tc>
        <w:tc>
          <w:tcPr>
            <w:tcW w:type="dxa" w:w="2160"/>
          </w:tcPr>
          <w:p>
            <w:r>
              <w:t>Jan 2025 - Jul 2025</w:t>
            </w:r>
          </w:p>
        </w:tc>
        <w:tc>
          <w:tcPr>
            <w:tcW w:type="dxa" w:w="2160"/>
          </w:tcPr>
          <w:p>
            <w:r>
              <w:t>t-3 to t+3</w:t>
            </w:r>
          </w:p>
        </w:tc>
      </w:tr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Never</w:t>
            </w:r>
          </w:p>
        </w:tc>
        <w:tc>
          <w:tcPr>
            <w:tcW w:type="dxa" w:w="2160"/>
          </w:tcPr>
          <w:p>
            <w:r>
              <w:t>Oct 2024 - Jul 2025 (all 10 months)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</w:tbl>
    <w:p>
      <w:pPr>
        <w:pStyle w:val="Heading2"/>
      </w:pPr>
      <w:r>
        <w:t>2.2 Main Results</w:t>
      </w:r>
    </w:p>
    <w:p>
      <w:pPr>
        <w:pStyle w:val="IntenseQuote"/>
      </w:pPr>
      <w:r>
        <w:t>Table 2.2: Symmetric DiD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Coefficient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Std. Error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Effect Size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Significant</w:t>
            </w:r>
          </w:p>
        </w:tc>
      </w:tr>
      <w:tr>
        <w:tc>
          <w:tcPr>
            <w:tcW w:type="dxa" w:w="1440"/>
          </w:tcPr>
          <w:p>
            <w:r>
              <w:t>0.0283</w:t>
            </w:r>
          </w:p>
        </w:tc>
        <w:tc>
          <w:tcPr>
            <w:tcW w:type="dxa" w:w="1440"/>
          </w:tcPr>
          <w:p>
            <w:r>
              <w:t>0.0296</w:t>
            </w:r>
          </w:p>
        </w:tc>
        <w:tc>
          <w:tcPr>
            <w:tcW w:type="dxa" w:w="1440"/>
          </w:tcPr>
          <w:p>
            <w:r>
              <w:t>0.339</w:t>
            </w:r>
          </w:p>
        </w:tc>
        <w:tc>
          <w:tcPr>
            <w:tcW w:type="dxa" w:w="1440"/>
          </w:tcPr>
          <w:p>
            <w:r>
              <w:t>[-0.030, 0.086]</w:t>
            </w:r>
          </w:p>
        </w:tc>
        <w:tc>
          <w:tcPr>
            <w:tcW w:type="dxa" w:w="1440"/>
          </w:tcPr>
          <w:p>
            <w:r>
              <w:t>+2.87%</w:t>
            </w:r>
          </w:p>
        </w:tc>
        <w:tc>
          <w:tcPr>
            <w:tcW w:type="dxa" w:w="1440"/>
          </w:tcPr>
          <w:p>
            <w:r>
              <w:t>No ✗</w:t>
            </w:r>
          </w:p>
        </w:tc>
      </w:tr>
    </w:tbl>
    <w:p>
      <w:r>
        <w:rPr>
          <w:b/>
        </w:rPr>
        <w:t xml:space="preserve">Interpretation: </w:t>
      </w:r>
      <w:r>
        <w:t>The symmetric DiD estimate suggests a +2.87% increase, but this effect is not statistically significant (p=0.339). The 95% confidence interval includes zero.</w:t>
      </w:r>
    </w:p>
    <w:p>
      <w:r>
        <w:rPr>
          <w:b/>
        </w:rPr>
        <w:t xml:space="preserve">Sample: </w:t>
      </w:r>
      <w:r>
        <w:t>2,633 observations from 310 games. Treatment: 2,233 observations (319 games × 7 months). Control: 400 observations (40 games × 10 months).</w:t>
      </w:r>
    </w:p>
    <w:p>
      <w:pPr>
        <w:pStyle w:val="Heading2"/>
      </w:pPr>
      <w:r>
        <w:t>2.3 Why the Null Result?</w:t>
      </w:r>
    </w:p>
    <w:p>
      <w:r>
        <w:rPr>
          <w:b/>
        </w:rPr>
        <w:t xml:space="preserve">Selection Bias from Attrition: </w:t>
      </w:r>
      <w:r>
        <w:t>Control group suffered 60% attrition (100→40 games) due to requiring complete 10-month data. Remaining games are likely larger, more stable titles that may be less responsive to patches.</w:t>
      </w:r>
    </w:p>
    <w:p>
      <w:r>
        <w:rPr>
          <w:b/>
        </w:rPr>
        <w:t xml:space="preserve">Trade-off: </w:t>
      </w:r>
      <w:r>
        <w:t>The symmetric design represents the methodological ideal (balanced windows, 3 pre-periods) but faces severe practical limitations from sample selection. Stricter data requirements → better identification but worse sample composition.</w:t>
      </w:r>
    </w:p>
    <w:p>
      <w:pPr>
        <w:pStyle w:val="Heading2"/>
      </w:pPr>
      <w:r>
        <w:t>2.4 Comparison with Original Analysis</w:t>
      </w:r>
    </w:p>
    <w:p>
      <w:pPr>
        <w:pStyle w:val="IntenseQuote"/>
      </w:pPr>
      <w:r>
        <w:t>Table 2.3: Original vs. Extended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Time Span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Pre-Periods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Effect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 (games)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Significant</w:t>
            </w:r>
          </w:p>
        </w:tc>
      </w:tr>
      <w:tr>
        <w:tc>
          <w:tcPr>
            <w:tcW w:type="dxa" w:w="1234"/>
          </w:tcPr>
          <w:p>
            <w:r>
              <w:t>Original</w:t>
            </w:r>
          </w:p>
        </w:tc>
        <w:tc>
          <w:tcPr>
            <w:tcW w:type="dxa" w:w="1234"/>
          </w:tcPr>
          <w:p>
            <w:r>
              <w:t>Dec 24-Apr 25 (5mo)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+6.17%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319</w:t>
            </w:r>
          </w:p>
        </w:tc>
        <w:tc>
          <w:tcPr>
            <w:tcW w:type="dxa" w:w="1234"/>
          </w:tcPr>
          <w:p>
            <w:r>
              <w:t>Yes ✓</w:t>
            </w:r>
          </w:p>
        </w:tc>
      </w:tr>
      <w:tr>
        <w:tc>
          <w:tcPr>
            <w:tcW w:type="dxa" w:w="1234"/>
          </w:tcPr>
          <w:p>
            <w:r>
              <w:t>Extended</w:t>
            </w:r>
          </w:p>
        </w:tc>
        <w:tc>
          <w:tcPr>
            <w:tcW w:type="dxa" w:w="1234"/>
          </w:tcPr>
          <w:p>
            <w:r>
              <w:t>Oct 24-Jul 25 (10mo)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+2.87%</w:t>
            </w:r>
          </w:p>
        </w:tc>
        <w:tc>
          <w:tcPr>
            <w:tcW w:type="dxa" w:w="1234"/>
          </w:tcPr>
          <w:p>
            <w:r>
              <w:t>0.339</w:t>
            </w:r>
          </w:p>
        </w:tc>
        <w:tc>
          <w:tcPr>
            <w:tcW w:type="dxa" w:w="1234"/>
          </w:tcPr>
          <w:p>
            <w:r>
              <w:t>310</w:t>
            </w:r>
          </w:p>
        </w:tc>
        <w:tc>
          <w:tcPr>
            <w:tcW w:type="dxa" w:w="1234"/>
          </w:tcPr>
          <w:p>
            <w:r>
              <w:t>No ✗</w:t>
            </w:r>
          </w:p>
        </w:tc>
      </w:tr>
    </w:tbl>
    <w:p>
      <w:r>
        <w:rPr>
          <w:b/>
        </w:rPr>
        <w:t xml:space="preserve">Key Observations: </w:t>
      </w:r>
      <w:r>
        <w:t>Effect size decreases from +6.17% to +2.87% as time window extends. Statistical significance weakens. Control group attrition increases from ~36% to 60%. Sample composition shifts toward stable games.</w:t>
      </w:r>
    </w:p>
    <w:p>
      <w:pPr>
        <w:pStyle w:val="Heading2"/>
      </w:pPr>
      <w:r>
        <w:t>2.5 Event Study Visualizations</w:t>
      </w:r>
    </w:p>
    <w:p>
      <w:pPr>
        <w:pStyle w:val="IntenseQuote"/>
      </w:pPr>
      <w:r>
        <w:t>Figure 2.1: Symmetric Event Study by Cohort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31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mmetric_event_study_by_coh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Note: Four panels showing event study coefficients for each cohort. Balanced windows (t-3 to t+3) with t=-1 as reference. 95% confidence intervals shown. Weak and mostly non-significant effects.</w:t>
      </w:r>
    </w:p>
    <w:p>
      <w:pPr>
        <w:pStyle w:val="IntenseQuote"/>
      </w:pPr>
      <w:r>
        <w:t>Figure 2.2: Symmetric Event Study Combined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71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mmetric_event_study_combin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Note: All four cohorts overlaid with 95% confidence intervals. Enables cross-cohort comparison. Highlights heterogeneity and overall weak treatment effects in symmetric design.</w:t>
      </w:r>
    </w:p>
    <w:p>
      <w:pPr>
        <w:pStyle w:val="Heading2"/>
      </w:pPr>
      <w:r>
        <w:t>2.6 Recommendation</w:t>
      </w:r>
    </w:p>
    <w:p>
      <w:r>
        <w:rPr>
          <w:b/>
        </w:rPr>
        <w:t xml:space="preserve">Conclusion: </w:t>
      </w:r>
      <w:r>
        <w:t xml:space="preserve">While the symmetric design is theoretically superior, the severe control group attrition (60%) introduces selection bias that undermines causal interpretation. </w:t>
      </w:r>
      <w:r>
        <w:rPr>
          <w:b/>
        </w:rPr>
        <w:t xml:space="preserve">The original 5-month analysis (+6.17%, p=0.044) is preferred for publication </w:t>
      </w:r>
      <w:r>
        <w:t>due to: (1) better sample retention, (2) statistical significance, (3) more representative sample, and (4) practical feasibility. The extended analysis serves as a valuable robustness check demonstrating sensitivity to sample selection.</w:t>
      </w:r>
    </w:p>
    <w:p>
      <w:r>
        <w:br w:type="page"/>
      </w:r>
    </w:p>
    <w:p>
      <w:pPr>
        <w:pStyle w:val="Heading1"/>
      </w:pPr>
      <w:r>
        <w:t>3. February 2025 Single-Cohort Analysis (Robustness Check)</w:t>
      </w:r>
    </w:p>
    <w:p>
      <w:pPr>
        <w:pStyle w:val="BodyText"/>
      </w:pPr>
      <w:r>
        <w:t>This section would contain the February analysis details...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