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709AF" w14:textId="77777777" w:rsidR="000E784F" w:rsidRPr="00F723A5" w:rsidRDefault="000E784F" w:rsidP="000E784F">
      <w:pPr>
        <w:widowControl w:val="0"/>
        <w:tabs>
          <w:tab w:val="center" w:pos="4677"/>
        </w:tabs>
        <w:autoSpaceDE w:val="0"/>
        <w:autoSpaceDN w:val="0"/>
        <w:spacing w:after="0" w:line="240" w:lineRule="auto"/>
        <w:rPr>
          <w:rFonts w:ascii="Times New Roman" w:eastAsia="Arial" w:cs="Arial"/>
          <w:sz w:val="20"/>
        </w:rPr>
      </w:pPr>
      <w:r w:rsidRPr="00C95D7C">
        <w:rPr>
          <w:rFonts w:eastAsia="Arial" w:cs="Arial"/>
          <w:noProof/>
          <w:sz w:val="24"/>
          <w:szCs w:val="24"/>
          <w:lang w:val="de-DE"/>
        </w:rPr>
        <mc:AlternateContent>
          <mc:Choice Requires="wpg">
            <w:drawing>
              <wp:anchor distT="0" distB="0" distL="114300" distR="114300" simplePos="0" relativeHeight="251653632" behindDoc="1" locked="0" layoutInCell="1" allowOverlap="1" wp14:anchorId="6F49BAD3" wp14:editId="7A91296F">
                <wp:simplePos x="0" y="0"/>
                <wp:positionH relativeFrom="margin">
                  <wp:posOffset>4773930</wp:posOffset>
                </wp:positionH>
                <wp:positionV relativeFrom="page">
                  <wp:posOffset>468630</wp:posOffset>
                </wp:positionV>
                <wp:extent cx="1779270" cy="441960"/>
                <wp:effectExtent l="0" t="0" r="0" b="0"/>
                <wp:wrapNone/>
                <wp:docPr id="1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9270" cy="441960"/>
                          <a:chOff x="8759" y="923"/>
                          <a:chExt cx="2802" cy="696"/>
                        </a:xfrm>
                      </wpg:grpSpPr>
                      <wps:wsp>
                        <wps:cNvPr id="18" name="AutoShape 10"/>
                        <wps:cNvSpPr>
                          <a:spLocks/>
                        </wps:cNvSpPr>
                        <wps:spPr bwMode="auto">
                          <a:xfrm>
                            <a:off x="9669" y="1279"/>
                            <a:ext cx="1892" cy="340"/>
                          </a:xfrm>
                          <a:custGeom>
                            <a:avLst/>
                            <a:gdLst>
                              <a:gd name="T0" fmla="+- 0 9811 9670"/>
                              <a:gd name="T1" fmla="*/ T0 w 1892"/>
                              <a:gd name="T2" fmla="+- 0 1537 1280"/>
                              <a:gd name="T3" fmla="*/ 1537 h 340"/>
                              <a:gd name="T4" fmla="+- 0 9755 9670"/>
                              <a:gd name="T5" fmla="*/ T4 w 1892"/>
                              <a:gd name="T6" fmla="+- 0 1567 1280"/>
                              <a:gd name="T7" fmla="*/ 1567 h 340"/>
                              <a:gd name="T8" fmla="+- 0 9735 9670"/>
                              <a:gd name="T9" fmla="*/ T8 w 1892"/>
                              <a:gd name="T10" fmla="+- 0 1286 1280"/>
                              <a:gd name="T11" fmla="*/ 1286 h 340"/>
                              <a:gd name="T12" fmla="+- 0 9702 9670"/>
                              <a:gd name="T13" fmla="*/ T12 w 1892"/>
                              <a:gd name="T14" fmla="+- 0 1600 1280"/>
                              <a:gd name="T15" fmla="*/ 1600 h 340"/>
                              <a:gd name="T16" fmla="+- 0 9846 9670"/>
                              <a:gd name="T17" fmla="*/ T16 w 1892"/>
                              <a:gd name="T18" fmla="+- 0 1598 1280"/>
                              <a:gd name="T19" fmla="*/ 1598 h 340"/>
                              <a:gd name="T20" fmla="+- 0 10111 9670"/>
                              <a:gd name="T21" fmla="*/ T20 w 1892"/>
                              <a:gd name="T22" fmla="+- 0 1286 1280"/>
                              <a:gd name="T23" fmla="*/ 1286 h 340"/>
                              <a:gd name="T24" fmla="+- 0 9970 9670"/>
                              <a:gd name="T25" fmla="*/ T24 w 1892"/>
                              <a:gd name="T26" fmla="+- 0 1286 1280"/>
                              <a:gd name="T27" fmla="*/ 1286 h 340"/>
                              <a:gd name="T28" fmla="+- 0 9955 9670"/>
                              <a:gd name="T29" fmla="*/ T28 w 1892"/>
                              <a:gd name="T30" fmla="+- 0 1384 1280"/>
                              <a:gd name="T31" fmla="*/ 1384 h 340"/>
                              <a:gd name="T32" fmla="+- 0 10111 9670"/>
                              <a:gd name="T33" fmla="*/ T32 w 1892"/>
                              <a:gd name="T34" fmla="+- 0 1286 1280"/>
                              <a:gd name="T35" fmla="*/ 1286 h 340"/>
                              <a:gd name="T36" fmla="+- 0 10194 9670"/>
                              <a:gd name="T37" fmla="*/ T36 w 1892"/>
                              <a:gd name="T38" fmla="+- 0 1613 1280"/>
                              <a:gd name="T39" fmla="*/ 1613 h 340"/>
                              <a:gd name="T40" fmla="+- 0 10317 9670"/>
                              <a:gd name="T41" fmla="*/ T40 w 1892"/>
                              <a:gd name="T42" fmla="+- 0 1528 1280"/>
                              <a:gd name="T43" fmla="*/ 1528 h 340"/>
                              <a:gd name="T44" fmla="+- 0 10274 9670"/>
                              <a:gd name="T45" fmla="*/ T44 w 1892"/>
                              <a:gd name="T46" fmla="+- 0 1613 1280"/>
                              <a:gd name="T47" fmla="*/ 1613 h 340"/>
                              <a:gd name="T48" fmla="+- 0 10505 9670"/>
                              <a:gd name="T49" fmla="*/ T48 w 1892"/>
                              <a:gd name="T50" fmla="+- 0 1558 1280"/>
                              <a:gd name="T51" fmla="*/ 1558 h 340"/>
                              <a:gd name="T52" fmla="+- 0 10505 9670"/>
                              <a:gd name="T53" fmla="*/ T52 w 1892"/>
                              <a:gd name="T54" fmla="+- 0 1416 1280"/>
                              <a:gd name="T55" fmla="*/ 1416 h 340"/>
                              <a:gd name="T56" fmla="+- 0 10439 9670"/>
                              <a:gd name="T57" fmla="*/ T56 w 1892"/>
                              <a:gd name="T58" fmla="+- 0 1286 1280"/>
                              <a:gd name="T59" fmla="*/ 1286 h 340"/>
                              <a:gd name="T60" fmla="+- 0 10439 9670"/>
                              <a:gd name="T61" fmla="*/ T60 w 1892"/>
                              <a:gd name="T62" fmla="+- 0 1558 1280"/>
                              <a:gd name="T63" fmla="*/ 1558 h 340"/>
                              <a:gd name="T64" fmla="+- 0 10863 9670"/>
                              <a:gd name="T65" fmla="*/ T64 w 1892"/>
                              <a:gd name="T66" fmla="+- 0 1610 1280"/>
                              <a:gd name="T67" fmla="*/ 1610 h 340"/>
                              <a:gd name="T68" fmla="+- 0 10848 9670"/>
                              <a:gd name="T69" fmla="*/ T68 w 1892"/>
                              <a:gd name="T70" fmla="+- 0 1552 1280"/>
                              <a:gd name="T71" fmla="*/ 1552 h 340"/>
                              <a:gd name="T72" fmla="+- 0 10822 9670"/>
                              <a:gd name="T73" fmla="*/ T72 w 1892"/>
                              <a:gd name="T74" fmla="+- 0 1460 1280"/>
                              <a:gd name="T75" fmla="*/ 1460 h 340"/>
                              <a:gd name="T76" fmla="+- 0 10832 9670"/>
                              <a:gd name="T77" fmla="*/ T76 w 1892"/>
                              <a:gd name="T78" fmla="+- 0 1429 1280"/>
                              <a:gd name="T79" fmla="*/ 1429 h 340"/>
                              <a:gd name="T80" fmla="+- 0 10844 9670"/>
                              <a:gd name="T81" fmla="*/ T80 w 1892"/>
                              <a:gd name="T82" fmla="+- 0 1335 1280"/>
                              <a:gd name="T83" fmla="*/ 1335 h 340"/>
                              <a:gd name="T84" fmla="+- 0 10784 9670"/>
                              <a:gd name="T85" fmla="*/ T84 w 1892"/>
                              <a:gd name="T86" fmla="+- 0 1289 1280"/>
                              <a:gd name="T87" fmla="*/ 1289 h 340"/>
                              <a:gd name="T88" fmla="+- 0 10755 9670"/>
                              <a:gd name="T89" fmla="*/ T88 w 1892"/>
                              <a:gd name="T90" fmla="+- 0 1426 1280"/>
                              <a:gd name="T91" fmla="*/ 1426 h 340"/>
                              <a:gd name="T92" fmla="+- 0 10738 9670"/>
                              <a:gd name="T93" fmla="*/ T92 w 1892"/>
                              <a:gd name="T94" fmla="+- 0 1335 1280"/>
                              <a:gd name="T95" fmla="*/ 1335 h 340"/>
                              <a:gd name="T96" fmla="+- 0 10784 9670"/>
                              <a:gd name="T97" fmla="*/ T96 w 1892"/>
                              <a:gd name="T98" fmla="+- 0 1380 1280"/>
                              <a:gd name="T99" fmla="*/ 1380 h 340"/>
                              <a:gd name="T100" fmla="+- 0 10641 9670"/>
                              <a:gd name="T101" fmla="*/ T100 w 1892"/>
                              <a:gd name="T102" fmla="+- 0 1613 1280"/>
                              <a:gd name="T103" fmla="*/ 1613 h 340"/>
                              <a:gd name="T104" fmla="+- 0 10759 9670"/>
                              <a:gd name="T105" fmla="*/ T104 w 1892"/>
                              <a:gd name="T106" fmla="+- 0 1478 1280"/>
                              <a:gd name="T107" fmla="*/ 1478 h 340"/>
                              <a:gd name="T108" fmla="+- 0 10783 9670"/>
                              <a:gd name="T109" fmla="*/ T108 w 1892"/>
                              <a:gd name="T110" fmla="+- 0 1579 1280"/>
                              <a:gd name="T111" fmla="*/ 1579 h 340"/>
                              <a:gd name="T112" fmla="+- 0 10863 9670"/>
                              <a:gd name="T113" fmla="*/ T112 w 1892"/>
                              <a:gd name="T114" fmla="+- 0 1613 1280"/>
                              <a:gd name="T115" fmla="*/ 1613 h 340"/>
                              <a:gd name="T116" fmla="+- 0 11060 9670"/>
                              <a:gd name="T117" fmla="*/ T116 w 1892"/>
                              <a:gd name="T118" fmla="+- 0 1469 1280"/>
                              <a:gd name="T119" fmla="*/ 1469 h 340"/>
                              <a:gd name="T120" fmla="+- 0 10942 9670"/>
                              <a:gd name="T121" fmla="*/ T120 w 1892"/>
                              <a:gd name="T122" fmla="+- 0 1402 1280"/>
                              <a:gd name="T123" fmla="*/ 1402 h 340"/>
                              <a:gd name="T124" fmla="+- 0 10927 9670"/>
                              <a:gd name="T125" fmla="*/ T124 w 1892"/>
                              <a:gd name="T126" fmla="+- 0 1352 1280"/>
                              <a:gd name="T127" fmla="*/ 1352 h 340"/>
                              <a:gd name="T128" fmla="+- 0 10979 9670"/>
                              <a:gd name="T129" fmla="*/ T128 w 1892"/>
                              <a:gd name="T130" fmla="+- 0 1332 1280"/>
                              <a:gd name="T131" fmla="*/ 1332 h 340"/>
                              <a:gd name="T132" fmla="+- 0 11062 9670"/>
                              <a:gd name="T133" fmla="*/ T132 w 1892"/>
                              <a:gd name="T134" fmla="+- 0 1377 1280"/>
                              <a:gd name="T135" fmla="*/ 1377 h 340"/>
                              <a:gd name="T136" fmla="+- 0 11001 9670"/>
                              <a:gd name="T137" fmla="*/ T136 w 1892"/>
                              <a:gd name="T138" fmla="+- 0 1285 1280"/>
                              <a:gd name="T139" fmla="*/ 1285 h 340"/>
                              <a:gd name="T140" fmla="+- 0 10867 9670"/>
                              <a:gd name="T141" fmla="*/ T140 w 1892"/>
                              <a:gd name="T142" fmla="+- 0 1334 1280"/>
                              <a:gd name="T143" fmla="*/ 1334 h 340"/>
                              <a:gd name="T144" fmla="+- 0 10907 9670"/>
                              <a:gd name="T145" fmla="*/ T144 w 1892"/>
                              <a:gd name="T146" fmla="+- 0 1458 1280"/>
                              <a:gd name="T147" fmla="*/ 1458 h 340"/>
                              <a:gd name="T148" fmla="+- 0 11001 9670"/>
                              <a:gd name="T149" fmla="*/ T148 w 1892"/>
                              <a:gd name="T150" fmla="+- 0 1511 1280"/>
                              <a:gd name="T151" fmla="*/ 1511 h 340"/>
                              <a:gd name="T152" fmla="+- 0 10979 9670"/>
                              <a:gd name="T153" fmla="*/ T152 w 1892"/>
                              <a:gd name="T154" fmla="+- 0 1568 1280"/>
                              <a:gd name="T155" fmla="*/ 1568 h 340"/>
                              <a:gd name="T156" fmla="+- 0 10923 9670"/>
                              <a:gd name="T157" fmla="*/ T156 w 1892"/>
                              <a:gd name="T158" fmla="+- 0 1541 1280"/>
                              <a:gd name="T159" fmla="*/ 1541 h 340"/>
                              <a:gd name="T160" fmla="+- 0 10855 9670"/>
                              <a:gd name="T161" fmla="*/ T160 w 1892"/>
                              <a:gd name="T162" fmla="+- 0 1524 1280"/>
                              <a:gd name="T163" fmla="*/ 1524 h 340"/>
                              <a:gd name="T164" fmla="+- 0 10959 9670"/>
                              <a:gd name="T165" fmla="*/ T164 w 1892"/>
                              <a:gd name="T166" fmla="+- 0 1619 1280"/>
                              <a:gd name="T167" fmla="*/ 1619 h 340"/>
                              <a:gd name="T168" fmla="+- 0 11073 9670"/>
                              <a:gd name="T169" fmla="*/ T168 w 1892"/>
                              <a:gd name="T170" fmla="+- 0 1519 1280"/>
                              <a:gd name="T171" fmla="*/ 1519 h 340"/>
                              <a:gd name="T172" fmla="+- 0 11147 9670"/>
                              <a:gd name="T173" fmla="*/ T172 w 1892"/>
                              <a:gd name="T174" fmla="+- 0 1613 1280"/>
                              <a:gd name="T175" fmla="*/ 1613 h 340"/>
                              <a:gd name="T176" fmla="+- 0 11444 9670"/>
                              <a:gd name="T177" fmla="*/ T176 w 1892"/>
                              <a:gd name="T178" fmla="+- 0 1413 1280"/>
                              <a:gd name="T179" fmla="*/ 1413 h 340"/>
                              <a:gd name="T180" fmla="+- 0 11156 9670"/>
                              <a:gd name="T181" fmla="*/ T180 w 1892"/>
                              <a:gd name="T182" fmla="+- 0 1340 1280"/>
                              <a:gd name="T183" fmla="*/ 1340 h 340"/>
                              <a:gd name="T184" fmla="+- 0 11293 9670"/>
                              <a:gd name="T185" fmla="*/ T184 w 1892"/>
                              <a:gd name="T186" fmla="+- 0 1340 1280"/>
                              <a:gd name="T187" fmla="*/ 1340 h 340"/>
                              <a:gd name="T188" fmla="+- 0 11476 9670"/>
                              <a:gd name="T189" fmla="*/ T188 w 1892"/>
                              <a:gd name="T190" fmla="+- 0 1613 1280"/>
                              <a:gd name="T191" fmla="*/ 1613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92" h="340">
                                <a:moveTo>
                                  <a:pt x="208" y="6"/>
                                </a:moveTo>
                                <a:lnTo>
                                  <a:pt x="142" y="6"/>
                                </a:lnTo>
                                <a:lnTo>
                                  <a:pt x="142" y="234"/>
                                </a:lnTo>
                                <a:lnTo>
                                  <a:pt x="141" y="257"/>
                                </a:lnTo>
                                <a:lnTo>
                                  <a:pt x="135" y="275"/>
                                </a:lnTo>
                                <a:lnTo>
                                  <a:pt x="123" y="287"/>
                                </a:lnTo>
                                <a:lnTo>
                                  <a:pt x="104" y="291"/>
                                </a:lnTo>
                                <a:lnTo>
                                  <a:pt x="85" y="287"/>
                                </a:lnTo>
                                <a:lnTo>
                                  <a:pt x="73" y="275"/>
                                </a:lnTo>
                                <a:lnTo>
                                  <a:pt x="67" y="257"/>
                                </a:lnTo>
                                <a:lnTo>
                                  <a:pt x="65" y="234"/>
                                </a:lnTo>
                                <a:lnTo>
                                  <a:pt x="65" y="6"/>
                                </a:lnTo>
                                <a:lnTo>
                                  <a:pt x="0" y="6"/>
                                </a:lnTo>
                                <a:lnTo>
                                  <a:pt x="0" y="234"/>
                                </a:lnTo>
                                <a:lnTo>
                                  <a:pt x="8" y="287"/>
                                </a:lnTo>
                                <a:lnTo>
                                  <a:pt x="32" y="320"/>
                                </a:lnTo>
                                <a:lnTo>
                                  <a:pt x="65" y="335"/>
                                </a:lnTo>
                                <a:lnTo>
                                  <a:pt x="104" y="339"/>
                                </a:lnTo>
                                <a:lnTo>
                                  <a:pt x="143" y="335"/>
                                </a:lnTo>
                                <a:lnTo>
                                  <a:pt x="176" y="318"/>
                                </a:lnTo>
                                <a:lnTo>
                                  <a:pt x="199" y="286"/>
                                </a:lnTo>
                                <a:lnTo>
                                  <a:pt x="208" y="234"/>
                                </a:lnTo>
                                <a:lnTo>
                                  <a:pt x="208" y="6"/>
                                </a:lnTo>
                                <a:close/>
                                <a:moveTo>
                                  <a:pt x="441" y="6"/>
                                </a:moveTo>
                                <a:lnTo>
                                  <a:pt x="381" y="6"/>
                                </a:lnTo>
                                <a:lnTo>
                                  <a:pt x="381" y="230"/>
                                </a:lnTo>
                                <a:lnTo>
                                  <a:pt x="380" y="230"/>
                                </a:lnTo>
                                <a:lnTo>
                                  <a:pt x="300" y="6"/>
                                </a:lnTo>
                                <a:lnTo>
                                  <a:pt x="224" y="6"/>
                                </a:lnTo>
                                <a:lnTo>
                                  <a:pt x="224" y="333"/>
                                </a:lnTo>
                                <a:lnTo>
                                  <a:pt x="285" y="333"/>
                                </a:lnTo>
                                <a:lnTo>
                                  <a:pt x="285" y="104"/>
                                </a:lnTo>
                                <a:lnTo>
                                  <a:pt x="286" y="104"/>
                                </a:lnTo>
                                <a:lnTo>
                                  <a:pt x="366" y="333"/>
                                </a:lnTo>
                                <a:lnTo>
                                  <a:pt x="441" y="333"/>
                                </a:lnTo>
                                <a:lnTo>
                                  <a:pt x="441" y="6"/>
                                </a:lnTo>
                                <a:close/>
                                <a:moveTo>
                                  <a:pt x="524" y="6"/>
                                </a:moveTo>
                                <a:lnTo>
                                  <a:pt x="458" y="6"/>
                                </a:lnTo>
                                <a:lnTo>
                                  <a:pt x="458" y="333"/>
                                </a:lnTo>
                                <a:lnTo>
                                  <a:pt x="524" y="333"/>
                                </a:lnTo>
                                <a:lnTo>
                                  <a:pt x="524" y="6"/>
                                </a:lnTo>
                                <a:close/>
                                <a:moveTo>
                                  <a:pt x="763" y="6"/>
                                </a:moveTo>
                                <a:lnTo>
                                  <a:pt x="695" y="6"/>
                                </a:lnTo>
                                <a:lnTo>
                                  <a:pt x="647" y="248"/>
                                </a:lnTo>
                                <a:lnTo>
                                  <a:pt x="645" y="248"/>
                                </a:lnTo>
                                <a:lnTo>
                                  <a:pt x="599" y="6"/>
                                </a:lnTo>
                                <a:lnTo>
                                  <a:pt x="529" y="6"/>
                                </a:lnTo>
                                <a:lnTo>
                                  <a:pt x="604" y="333"/>
                                </a:lnTo>
                                <a:lnTo>
                                  <a:pt x="688" y="333"/>
                                </a:lnTo>
                                <a:lnTo>
                                  <a:pt x="763" y="6"/>
                                </a:lnTo>
                                <a:close/>
                                <a:moveTo>
                                  <a:pt x="956" y="278"/>
                                </a:moveTo>
                                <a:lnTo>
                                  <a:pt x="835" y="278"/>
                                </a:lnTo>
                                <a:lnTo>
                                  <a:pt x="835" y="190"/>
                                </a:lnTo>
                                <a:lnTo>
                                  <a:pt x="945" y="190"/>
                                </a:lnTo>
                                <a:lnTo>
                                  <a:pt x="945" y="136"/>
                                </a:lnTo>
                                <a:lnTo>
                                  <a:pt x="835" y="136"/>
                                </a:lnTo>
                                <a:lnTo>
                                  <a:pt x="835" y="60"/>
                                </a:lnTo>
                                <a:lnTo>
                                  <a:pt x="952" y="60"/>
                                </a:lnTo>
                                <a:lnTo>
                                  <a:pt x="952" y="6"/>
                                </a:lnTo>
                                <a:lnTo>
                                  <a:pt x="769" y="6"/>
                                </a:lnTo>
                                <a:lnTo>
                                  <a:pt x="769" y="60"/>
                                </a:lnTo>
                                <a:lnTo>
                                  <a:pt x="769" y="136"/>
                                </a:lnTo>
                                <a:lnTo>
                                  <a:pt x="769" y="190"/>
                                </a:lnTo>
                                <a:lnTo>
                                  <a:pt x="769" y="278"/>
                                </a:lnTo>
                                <a:lnTo>
                                  <a:pt x="769" y="332"/>
                                </a:lnTo>
                                <a:lnTo>
                                  <a:pt x="956" y="332"/>
                                </a:lnTo>
                                <a:lnTo>
                                  <a:pt x="956" y="278"/>
                                </a:lnTo>
                                <a:close/>
                                <a:moveTo>
                                  <a:pt x="1193" y="330"/>
                                </a:moveTo>
                                <a:lnTo>
                                  <a:pt x="1185" y="323"/>
                                </a:lnTo>
                                <a:lnTo>
                                  <a:pt x="1181" y="311"/>
                                </a:lnTo>
                                <a:lnTo>
                                  <a:pt x="1179" y="294"/>
                                </a:lnTo>
                                <a:lnTo>
                                  <a:pt x="1178" y="272"/>
                                </a:lnTo>
                                <a:lnTo>
                                  <a:pt x="1176" y="228"/>
                                </a:lnTo>
                                <a:lnTo>
                                  <a:pt x="1168" y="198"/>
                                </a:lnTo>
                                <a:lnTo>
                                  <a:pt x="1165" y="195"/>
                                </a:lnTo>
                                <a:lnTo>
                                  <a:pt x="1152" y="180"/>
                                </a:lnTo>
                                <a:lnTo>
                                  <a:pt x="1125" y="172"/>
                                </a:lnTo>
                                <a:lnTo>
                                  <a:pt x="1125" y="171"/>
                                </a:lnTo>
                                <a:lnTo>
                                  <a:pt x="1149" y="161"/>
                                </a:lnTo>
                                <a:lnTo>
                                  <a:pt x="1162" y="149"/>
                                </a:lnTo>
                                <a:lnTo>
                                  <a:pt x="1166" y="144"/>
                                </a:lnTo>
                                <a:lnTo>
                                  <a:pt x="1176" y="120"/>
                                </a:lnTo>
                                <a:lnTo>
                                  <a:pt x="1180" y="90"/>
                                </a:lnTo>
                                <a:lnTo>
                                  <a:pt x="1174" y="55"/>
                                </a:lnTo>
                                <a:lnTo>
                                  <a:pt x="1174" y="54"/>
                                </a:lnTo>
                                <a:lnTo>
                                  <a:pt x="1157" y="27"/>
                                </a:lnTo>
                                <a:lnTo>
                                  <a:pt x="1129" y="12"/>
                                </a:lnTo>
                                <a:lnTo>
                                  <a:pt x="1114" y="9"/>
                                </a:lnTo>
                                <a:lnTo>
                                  <a:pt x="1114" y="100"/>
                                </a:lnTo>
                                <a:lnTo>
                                  <a:pt x="1111" y="123"/>
                                </a:lnTo>
                                <a:lnTo>
                                  <a:pt x="1101" y="138"/>
                                </a:lnTo>
                                <a:lnTo>
                                  <a:pt x="1085" y="146"/>
                                </a:lnTo>
                                <a:lnTo>
                                  <a:pt x="1064" y="149"/>
                                </a:lnTo>
                                <a:lnTo>
                                  <a:pt x="1037" y="149"/>
                                </a:lnTo>
                                <a:lnTo>
                                  <a:pt x="1037" y="55"/>
                                </a:lnTo>
                                <a:lnTo>
                                  <a:pt x="1068" y="55"/>
                                </a:lnTo>
                                <a:lnTo>
                                  <a:pt x="1088" y="58"/>
                                </a:lnTo>
                                <a:lnTo>
                                  <a:pt x="1102" y="66"/>
                                </a:lnTo>
                                <a:lnTo>
                                  <a:pt x="1111" y="80"/>
                                </a:lnTo>
                                <a:lnTo>
                                  <a:pt x="1114" y="100"/>
                                </a:lnTo>
                                <a:lnTo>
                                  <a:pt x="1114" y="9"/>
                                </a:lnTo>
                                <a:lnTo>
                                  <a:pt x="1093" y="6"/>
                                </a:lnTo>
                                <a:lnTo>
                                  <a:pt x="971" y="6"/>
                                </a:lnTo>
                                <a:lnTo>
                                  <a:pt x="971" y="333"/>
                                </a:lnTo>
                                <a:lnTo>
                                  <a:pt x="1037" y="333"/>
                                </a:lnTo>
                                <a:lnTo>
                                  <a:pt x="1037" y="195"/>
                                </a:lnTo>
                                <a:lnTo>
                                  <a:pt x="1072" y="195"/>
                                </a:lnTo>
                                <a:lnTo>
                                  <a:pt x="1089" y="198"/>
                                </a:lnTo>
                                <a:lnTo>
                                  <a:pt x="1101" y="206"/>
                                </a:lnTo>
                                <a:lnTo>
                                  <a:pt x="1108" y="219"/>
                                </a:lnTo>
                                <a:lnTo>
                                  <a:pt x="1111" y="236"/>
                                </a:lnTo>
                                <a:lnTo>
                                  <a:pt x="1113" y="299"/>
                                </a:lnTo>
                                <a:lnTo>
                                  <a:pt x="1113" y="311"/>
                                </a:lnTo>
                                <a:lnTo>
                                  <a:pt x="1115" y="324"/>
                                </a:lnTo>
                                <a:lnTo>
                                  <a:pt x="1121" y="333"/>
                                </a:lnTo>
                                <a:lnTo>
                                  <a:pt x="1193" y="333"/>
                                </a:lnTo>
                                <a:lnTo>
                                  <a:pt x="1193" y="330"/>
                                </a:lnTo>
                                <a:close/>
                                <a:moveTo>
                                  <a:pt x="1403" y="239"/>
                                </a:moveTo>
                                <a:lnTo>
                                  <a:pt x="1400" y="212"/>
                                </a:lnTo>
                                <a:lnTo>
                                  <a:pt x="1390" y="189"/>
                                </a:lnTo>
                                <a:lnTo>
                                  <a:pt x="1371" y="170"/>
                                </a:lnTo>
                                <a:lnTo>
                                  <a:pt x="1340" y="153"/>
                                </a:lnTo>
                                <a:lnTo>
                                  <a:pt x="1290" y="131"/>
                                </a:lnTo>
                                <a:lnTo>
                                  <a:pt x="1272" y="122"/>
                                </a:lnTo>
                                <a:lnTo>
                                  <a:pt x="1262" y="112"/>
                                </a:lnTo>
                                <a:lnTo>
                                  <a:pt x="1257" y="100"/>
                                </a:lnTo>
                                <a:lnTo>
                                  <a:pt x="1256" y="86"/>
                                </a:lnTo>
                                <a:lnTo>
                                  <a:pt x="1257" y="72"/>
                                </a:lnTo>
                                <a:lnTo>
                                  <a:pt x="1263" y="60"/>
                                </a:lnTo>
                                <a:lnTo>
                                  <a:pt x="1275" y="52"/>
                                </a:lnTo>
                                <a:lnTo>
                                  <a:pt x="1293" y="48"/>
                                </a:lnTo>
                                <a:lnTo>
                                  <a:pt x="1309" y="52"/>
                                </a:lnTo>
                                <a:lnTo>
                                  <a:pt x="1320" y="61"/>
                                </a:lnTo>
                                <a:lnTo>
                                  <a:pt x="1327" y="76"/>
                                </a:lnTo>
                                <a:lnTo>
                                  <a:pt x="1329" y="97"/>
                                </a:lnTo>
                                <a:lnTo>
                                  <a:pt x="1392" y="97"/>
                                </a:lnTo>
                                <a:lnTo>
                                  <a:pt x="1392" y="88"/>
                                </a:lnTo>
                                <a:lnTo>
                                  <a:pt x="1384" y="48"/>
                                </a:lnTo>
                                <a:lnTo>
                                  <a:pt x="1363" y="20"/>
                                </a:lnTo>
                                <a:lnTo>
                                  <a:pt x="1331" y="5"/>
                                </a:lnTo>
                                <a:lnTo>
                                  <a:pt x="1291" y="0"/>
                                </a:lnTo>
                                <a:lnTo>
                                  <a:pt x="1249" y="6"/>
                                </a:lnTo>
                                <a:lnTo>
                                  <a:pt x="1217" y="24"/>
                                </a:lnTo>
                                <a:lnTo>
                                  <a:pt x="1197" y="54"/>
                                </a:lnTo>
                                <a:lnTo>
                                  <a:pt x="1190" y="96"/>
                                </a:lnTo>
                                <a:lnTo>
                                  <a:pt x="1195" y="132"/>
                                </a:lnTo>
                                <a:lnTo>
                                  <a:pt x="1211" y="158"/>
                                </a:lnTo>
                                <a:lnTo>
                                  <a:pt x="1237" y="178"/>
                                </a:lnTo>
                                <a:lnTo>
                                  <a:pt x="1275" y="195"/>
                                </a:lnTo>
                                <a:lnTo>
                                  <a:pt x="1303" y="206"/>
                                </a:lnTo>
                                <a:lnTo>
                                  <a:pt x="1321" y="217"/>
                                </a:lnTo>
                                <a:lnTo>
                                  <a:pt x="1331" y="231"/>
                                </a:lnTo>
                                <a:lnTo>
                                  <a:pt x="1334" y="251"/>
                                </a:lnTo>
                                <a:lnTo>
                                  <a:pt x="1331" y="268"/>
                                </a:lnTo>
                                <a:lnTo>
                                  <a:pt x="1322" y="281"/>
                                </a:lnTo>
                                <a:lnTo>
                                  <a:pt x="1309" y="288"/>
                                </a:lnTo>
                                <a:lnTo>
                                  <a:pt x="1295" y="291"/>
                                </a:lnTo>
                                <a:lnTo>
                                  <a:pt x="1273" y="287"/>
                                </a:lnTo>
                                <a:lnTo>
                                  <a:pt x="1260" y="277"/>
                                </a:lnTo>
                                <a:lnTo>
                                  <a:pt x="1253" y="261"/>
                                </a:lnTo>
                                <a:lnTo>
                                  <a:pt x="1251" y="241"/>
                                </a:lnTo>
                                <a:lnTo>
                                  <a:pt x="1251" y="231"/>
                                </a:lnTo>
                                <a:lnTo>
                                  <a:pt x="1185" y="231"/>
                                </a:lnTo>
                                <a:lnTo>
                                  <a:pt x="1185" y="244"/>
                                </a:lnTo>
                                <a:lnTo>
                                  <a:pt x="1191" y="285"/>
                                </a:lnTo>
                                <a:lnTo>
                                  <a:pt x="1209" y="314"/>
                                </a:lnTo>
                                <a:lnTo>
                                  <a:pt x="1241" y="333"/>
                                </a:lnTo>
                                <a:lnTo>
                                  <a:pt x="1289" y="339"/>
                                </a:lnTo>
                                <a:lnTo>
                                  <a:pt x="1337" y="333"/>
                                </a:lnTo>
                                <a:lnTo>
                                  <a:pt x="1373" y="315"/>
                                </a:lnTo>
                                <a:lnTo>
                                  <a:pt x="1395" y="284"/>
                                </a:lnTo>
                                <a:lnTo>
                                  <a:pt x="1403" y="239"/>
                                </a:lnTo>
                                <a:close/>
                                <a:moveTo>
                                  <a:pt x="1477" y="6"/>
                                </a:moveTo>
                                <a:lnTo>
                                  <a:pt x="1411" y="6"/>
                                </a:lnTo>
                                <a:lnTo>
                                  <a:pt x="1411" y="333"/>
                                </a:lnTo>
                                <a:lnTo>
                                  <a:pt x="1477" y="333"/>
                                </a:lnTo>
                                <a:lnTo>
                                  <a:pt x="1477" y="6"/>
                                </a:lnTo>
                                <a:close/>
                                <a:moveTo>
                                  <a:pt x="1891" y="6"/>
                                </a:moveTo>
                                <a:lnTo>
                                  <a:pt x="1819" y="6"/>
                                </a:lnTo>
                                <a:lnTo>
                                  <a:pt x="1774" y="133"/>
                                </a:lnTo>
                                <a:lnTo>
                                  <a:pt x="1773" y="133"/>
                                </a:lnTo>
                                <a:lnTo>
                                  <a:pt x="1730" y="6"/>
                                </a:lnTo>
                                <a:lnTo>
                                  <a:pt x="1486" y="6"/>
                                </a:lnTo>
                                <a:lnTo>
                                  <a:pt x="1486" y="60"/>
                                </a:lnTo>
                                <a:lnTo>
                                  <a:pt x="1557" y="60"/>
                                </a:lnTo>
                                <a:lnTo>
                                  <a:pt x="1557" y="333"/>
                                </a:lnTo>
                                <a:lnTo>
                                  <a:pt x="1623" y="333"/>
                                </a:lnTo>
                                <a:lnTo>
                                  <a:pt x="1623" y="60"/>
                                </a:lnTo>
                                <a:lnTo>
                                  <a:pt x="1679" y="60"/>
                                </a:lnTo>
                                <a:lnTo>
                                  <a:pt x="1740" y="204"/>
                                </a:lnTo>
                                <a:lnTo>
                                  <a:pt x="1740" y="333"/>
                                </a:lnTo>
                                <a:lnTo>
                                  <a:pt x="1806" y="333"/>
                                </a:lnTo>
                                <a:lnTo>
                                  <a:pt x="1806" y="204"/>
                                </a:lnTo>
                                <a:lnTo>
                                  <a:pt x="1891" y="6"/>
                                </a:lnTo>
                                <a:close/>
                              </a:path>
                            </a:pathLst>
                          </a:custGeom>
                          <a:solidFill>
                            <a:srgbClr val="86BB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 name="Picture 9"/>
                          <pic:cNvPicPr>
                            <a:picLocks noChangeAspect="1" noChangeArrowheads="1"/>
                          </pic:cNvPicPr>
                        </pic:nvPicPr>
                        <pic:blipFill>
                          <a:blip r:embed="rId6">
                            <a:alphaModFix amt="35000"/>
                            <a:extLst>
                              <a:ext uri="{28A0092B-C50C-407E-A947-70E740481C1C}">
                                <a14:useLocalDpi xmlns:a14="http://schemas.microsoft.com/office/drawing/2010/main" val="0"/>
                              </a:ext>
                            </a:extLst>
                          </a:blip>
                          <a:srcRect/>
                          <a:stretch>
                            <a:fillRect/>
                          </a:stretch>
                        </pic:blipFill>
                        <pic:spPr bwMode="auto">
                          <a:xfrm>
                            <a:off x="8981" y="928"/>
                            <a:ext cx="317"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Freeform 8"/>
                        <wps:cNvSpPr>
                          <a:spLocks/>
                        </wps:cNvSpPr>
                        <wps:spPr bwMode="auto">
                          <a:xfrm>
                            <a:off x="9242" y="928"/>
                            <a:ext cx="989" cy="329"/>
                          </a:xfrm>
                          <a:custGeom>
                            <a:avLst/>
                            <a:gdLst>
                              <a:gd name="T0" fmla="+- 0 10231 9243"/>
                              <a:gd name="T1" fmla="*/ T0 w 989"/>
                              <a:gd name="T2" fmla="+- 0 928 928"/>
                              <a:gd name="T3" fmla="*/ 928 h 329"/>
                              <a:gd name="T4" fmla="+- 0 10122 9243"/>
                              <a:gd name="T5" fmla="*/ T4 w 989"/>
                              <a:gd name="T6" fmla="+- 0 928 928"/>
                              <a:gd name="T7" fmla="*/ 928 h 329"/>
                              <a:gd name="T8" fmla="+- 0 10122 9243"/>
                              <a:gd name="T9" fmla="*/ T8 w 989"/>
                              <a:gd name="T10" fmla="+- 0 1047 928"/>
                              <a:gd name="T11" fmla="*/ 1047 h 329"/>
                              <a:gd name="T12" fmla="+- 0 10046 9243"/>
                              <a:gd name="T13" fmla="*/ T12 w 989"/>
                              <a:gd name="T14" fmla="+- 0 1047 928"/>
                              <a:gd name="T15" fmla="*/ 1047 h 329"/>
                              <a:gd name="T16" fmla="+- 0 10046 9243"/>
                              <a:gd name="T17" fmla="*/ T16 w 989"/>
                              <a:gd name="T18" fmla="+- 0 928 928"/>
                              <a:gd name="T19" fmla="*/ 928 h 329"/>
                              <a:gd name="T20" fmla="+- 0 9604 9243"/>
                              <a:gd name="T21" fmla="*/ T20 w 989"/>
                              <a:gd name="T22" fmla="+- 0 928 928"/>
                              <a:gd name="T23" fmla="*/ 928 h 329"/>
                              <a:gd name="T24" fmla="+- 0 9604 9243"/>
                              <a:gd name="T25" fmla="*/ T24 w 989"/>
                              <a:gd name="T26" fmla="+- 0 1076 928"/>
                              <a:gd name="T27" fmla="*/ 1076 h 329"/>
                              <a:gd name="T28" fmla="+- 0 9605 9243"/>
                              <a:gd name="T29" fmla="*/ T28 w 989"/>
                              <a:gd name="T30" fmla="+- 0 1083 928"/>
                              <a:gd name="T31" fmla="*/ 1083 h 329"/>
                              <a:gd name="T32" fmla="+- 0 9606 9243"/>
                              <a:gd name="T33" fmla="*/ T32 w 989"/>
                              <a:gd name="T34" fmla="+- 0 1089 928"/>
                              <a:gd name="T35" fmla="*/ 1089 h 329"/>
                              <a:gd name="T36" fmla="+- 0 9607 9243"/>
                              <a:gd name="T37" fmla="*/ T36 w 989"/>
                              <a:gd name="T38" fmla="+- 0 1097 928"/>
                              <a:gd name="T39" fmla="*/ 1097 h 329"/>
                              <a:gd name="T40" fmla="+- 0 9577 9243"/>
                              <a:gd name="T41" fmla="*/ T40 w 989"/>
                              <a:gd name="T42" fmla="+- 0 1029 928"/>
                              <a:gd name="T43" fmla="*/ 1029 h 329"/>
                              <a:gd name="T44" fmla="+- 0 9535 9243"/>
                              <a:gd name="T45" fmla="*/ T44 w 989"/>
                              <a:gd name="T46" fmla="+- 0 928 928"/>
                              <a:gd name="T47" fmla="*/ 928 h 329"/>
                              <a:gd name="T48" fmla="+- 0 9422 9243"/>
                              <a:gd name="T49" fmla="*/ T48 w 989"/>
                              <a:gd name="T50" fmla="+- 0 928 928"/>
                              <a:gd name="T51" fmla="*/ 928 h 329"/>
                              <a:gd name="T52" fmla="+- 0 9422 9243"/>
                              <a:gd name="T53" fmla="*/ T52 w 989"/>
                              <a:gd name="T54" fmla="+- 0 1076 928"/>
                              <a:gd name="T55" fmla="*/ 1076 h 329"/>
                              <a:gd name="T56" fmla="+- 0 9424 9243"/>
                              <a:gd name="T57" fmla="*/ T56 w 989"/>
                              <a:gd name="T58" fmla="+- 0 1082 928"/>
                              <a:gd name="T59" fmla="*/ 1082 h 329"/>
                              <a:gd name="T60" fmla="+- 0 9426 9243"/>
                              <a:gd name="T61" fmla="*/ T60 w 989"/>
                              <a:gd name="T62" fmla="+- 0 1090 928"/>
                              <a:gd name="T63" fmla="*/ 1090 h 329"/>
                              <a:gd name="T64" fmla="+- 0 9426 9243"/>
                              <a:gd name="T65" fmla="*/ T64 w 989"/>
                              <a:gd name="T66" fmla="+- 0 1097 928"/>
                              <a:gd name="T67" fmla="*/ 1097 h 329"/>
                              <a:gd name="T68" fmla="+- 0 9390 9243"/>
                              <a:gd name="T69" fmla="*/ T68 w 989"/>
                              <a:gd name="T70" fmla="+- 0 1012 928"/>
                              <a:gd name="T71" fmla="*/ 1012 h 329"/>
                              <a:gd name="T72" fmla="+- 0 9355 9243"/>
                              <a:gd name="T73" fmla="*/ T72 w 989"/>
                              <a:gd name="T74" fmla="+- 0 928 928"/>
                              <a:gd name="T75" fmla="*/ 928 h 329"/>
                              <a:gd name="T76" fmla="+- 0 9243 9243"/>
                              <a:gd name="T77" fmla="*/ T76 w 989"/>
                              <a:gd name="T78" fmla="+- 0 928 928"/>
                              <a:gd name="T79" fmla="*/ 928 h 329"/>
                              <a:gd name="T80" fmla="+- 0 9245 9243"/>
                              <a:gd name="T81" fmla="*/ T80 w 989"/>
                              <a:gd name="T82" fmla="+- 0 935 928"/>
                              <a:gd name="T83" fmla="*/ 935 h 329"/>
                              <a:gd name="T84" fmla="+- 0 9248 9243"/>
                              <a:gd name="T85" fmla="*/ T84 w 989"/>
                              <a:gd name="T86" fmla="+- 0 941 928"/>
                              <a:gd name="T87" fmla="*/ 941 h 329"/>
                              <a:gd name="T88" fmla="+- 0 9251 9243"/>
                              <a:gd name="T89" fmla="*/ T88 w 989"/>
                              <a:gd name="T90" fmla="+- 0 948 928"/>
                              <a:gd name="T91" fmla="*/ 948 h 329"/>
                              <a:gd name="T92" fmla="+- 0 9382 9243"/>
                              <a:gd name="T93" fmla="*/ T92 w 989"/>
                              <a:gd name="T94" fmla="+- 0 1257 928"/>
                              <a:gd name="T95" fmla="*/ 1257 h 329"/>
                              <a:gd name="T96" fmla="+- 0 9495 9243"/>
                              <a:gd name="T97" fmla="*/ T96 w 989"/>
                              <a:gd name="T98" fmla="+- 0 1257 928"/>
                              <a:gd name="T99" fmla="*/ 1257 h 329"/>
                              <a:gd name="T100" fmla="+- 0 9495 9243"/>
                              <a:gd name="T101" fmla="*/ T100 w 989"/>
                              <a:gd name="T102" fmla="+- 0 1085 928"/>
                              <a:gd name="T103" fmla="*/ 1085 h 329"/>
                              <a:gd name="T104" fmla="+- 0 9498 9243"/>
                              <a:gd name="T105" fmla="*/ T104 w 989"/>
                              <a:gd name="T106" fmla="+- 0 1095 928"/>
                              <a:gd name="T107" fmla="*/ 1095 h 329"/>
                              <a:gd name="T108" fmla="+- 0 9502 9243"/>
                              <a:gd name="T109" fmla="*/ T108 w 989"/>
                              <a:gd name="T110" fmla="+- 0 1114 928"/>
                              <a:gd name="T111" fmla="*/ 1114 h 329"/>
                              <a:gd name="T112" fmla="+- 0 9561 9243"/>
                              <a:gd name="T113" fmla="*/ T112 w 989"/>
                              <a:gd name="T114" fmla="+- 0 1257 928"/>
                              <a:gd name="T115" fmla="*/ 1257 h 329"/>
                              <a:gd name="T116" fmla="+- 0 9674 9243"/>
                              <a:gd name="T117" fmla="*/ T116 w 989"/>
                              <a:gd name="T118" fmla="+- 0 1257 928"/>
                              <a:gd name="T119" fmla="*/ 1257 h 329"/>
                              <a:gd name="T120" fmla="+- 0 9674 9243"/>
                              <a:gd name="T121" fmla="*/ T120 w 989"/>
                              <a:gd name="T122" fmla="+- 0 1004 928"/>
                              <a:gd name="T123" fmla="*/ 1004 h 329"/>
                              <a:gd name="T124" fmla="+- 0 9751 9243"/>
                              <a:gd name="T125" fmla="*/ T124 w 989"/>
                              <a:gd name="T126" fmla="+- 0 1004 928"/>
                              <a:gd name="T127" fmla="*/ 1004 h 329"/>
                              <a:gd name="T128" fmla="+- 0 9751 9243"/>
                              <a:gd name="T129" fmla="*/ T128 w 989"/>
                              <a:gd name="T130" fmla="+- 0 1257 928"/>
                              <a:gd name="T131" fmla="*/ 1257 h 329"/>
                              <a:gd name="T132" fmla="+- 0 9860 9243"/>
                              <a:gd name="T133" fmla="*/ T132 w 989"/>
                              <a:gd name="T134" fmla="+- 0 1257 928"/>
                              <a:gd name="T135" fmla="*/ 1257 h 329"/>
                              <a:gd name="T136" fmla="+- 0 9860 9243"/>
                              <a:gd name="T137" fmla="*/ T136 w 989"/>
                              <a:gd name="T138" fmla="+- 0 1004 928"/>
                              <a:gd name="T139" fmla="*/ 1004 h 329"/>
                              <a:gd name="T140" fmla="+- 0 9936 9243"/>
                              <a:gd name="T141" fmla="*/ T140 w 989"/>
                              <a:gd name="T142" fmla="+- 0 1004 928"/>
                              <a:gd name="T143" fmla="*/ 1004 h 329"/>
                              <a:gd name="T144" fmla="+- 0 9936 9243"/>
                              <a:gd name="T145" fmla="*/ T144 w 989"/>
                              <a:gd name="T146" fmla="+- 0 1257 928"/>
                              <a:gd name="T147" fmla="*/ 1257 h 329"/>
                              <a:gd name="T148" fmla="+- 0 10046 9243"/>
                              <a:gd name="T149" fmla="*/ T148 w 989"/>
                              <a:gd name="T150" fmla="+- 0 1257 928"/>
                              <a:gd name="T151" fmla="*/ 1257 h 329"/>
                              <a:gd name="T152" fmla="+- 0 10046 9243"/>
                              <a:gd name="T153" fmla="*/ T152 w 989"/>
                              <a:gd name="T154" fmla="+- 0 1123 928"/>
                              <a:gd name="T155" fmla="*/ 1123 h 329"/>
                              <a:gd name="T156" fmla="+- 0 10122 9243"/>
                              <a:gd name="T157" fmla="*/ T156 w 989"/>
                              <a:gd name="T158" fmla="+- 0 1123 928"/>
                              <a:gd name="T159" fmla="*/ 1123 h 329"/>
                              <a:gd name="T160" fmla="+- 0 10122 9243"/>
                              <a:gd name="T161" fmla="*/ T160 w 989"/>
                              <a:gd name="T162" fmla="+- 0 1257 928"/>
                              <a:gd name="T163" fmla="*/ 1257 h 329"/>
                              <a:gd name="T164" fmla="+- 0 10231 9243"/>
                              <a:gd name="T165" fmla="*/ T164 w 989"/>
                              <a:gd name="T166" fmla="+- 0 1257 928"/>
                              <a:gd name="T167" fmla="*/ 1257 h 329"/>
                              <a:gd name="T168" fmla="+- 0 10231 9243"/>
                              <a:gd name="T169" fmla="*/ T168 w 989"/>
                              <a:gd name="T170" fmla="+- 0 928 928"/>
                              <a:gd name="T171" fmla="*/ 928 h 3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989" h="329">
                                <a:moveTo>
                                  <a:pt x="988" y="0"/>
                                </a:moveTo>
                                <a:lnTo>
                                  <a:pt x="879" y="0"/>
                                </a:lnTo>
                                <a:lnTo>
                                  <a:pt x="879" y="119"/>
                                </a:lnTo>
                                <a:lnTo>
                                  <a:pt x="803" y="119"/>
                                </a:lnTo>
                                <a:lnTo>
                                  <a:pt x="803" y="0"/>
                                </a:lnTo>
                                <a:lnTo>
                                  <a:pt x="361" y="0"/>
                                </a:lnTo>
                                <a:lnTo>
                                  <a:pt x="361" y="148"/>
                                </a:lnTo>
                                <a:lnTo>
                                  <a:pt x="362" y="155"/>
                                </a:lnTo>
                                <a:lnTo>
                                  <a:pt x="363" y="161"/>
                                </a:lnTo>
                                <a:lnTo>
                                  <a:pt x="364" y="169"/>
                                </a:lnTo>
                                <a:lnTo>
                                  <a:pt x="334" y="101"/>
                                </a:lnTo>
                                <a:lnTo>
                                  <a:pt x="292" y="0"/>
                                </a:lnTo>
                                <a:lnTo>
                                  <a:pt x="179" y="0"/>
                                </a:lnTo>
                                <a:lnTo>
                                  <a:pt x="179" y="148"/>
                                </a:lnTo>
                                <a:lnTo>
                                  <a:pt x="181" y="154"/>
                                </a:lnTo>
                                <a:lnTo>
                                  <a:pt x="183" y="162"/>
                                </a:lnTo>
                                <a:lnTo>
                                  <a:pt x="183" y="169"/>
                                </a:lnTo>
                                <a:lnTo>
                                  <a:pt x="147" y="84"/>
                                </a:lnTo>
                                <a:lnTo>
                                  <a:pt x="112" y="0"/>
                                </a:lnTo>
                                <a:lnTo>
                                  <a:pt x="0" y="0"/>
                                </a:lnTo>
                                <a:lnTo>
                                  <a:pt x="2" y="7"/>
                                </a:lnTo>
                                <a:lnTo>
                                  <a:pt x="5" y="13"/>
                                </a:lnTo>
                                <a:lnTo>
                                  <a:pt x="8" y="20"/>
                                </a:lnTo>
                                <a:lnTo>
                                  <a:pt x="139" y="329"/>
                                </a:lnTo>
                                <a:lnTo>
                                  <a:pt x="252" y="329"/>
                                </a:lnTo>
                                <a:lnTo>
                                  <a:pt x="252" y="157"/>
                                </a:lnTo>
                                <a:lnTo>
                                  <a:pt x="255" y="167"/>
                                </a:lnTo>
                                <a:lnTo>
                                  <a:pt x="259" y="186"/>
                                </a:lnTo>
                                <a:lnTo>
                                  <a:pt x="318" y="329"/>
                                </a:lnTo>
                                <a:lnTo>
                                  <a:pt x="431" y="329"/>
                                </a:lnTo>
                                <a:lnTo>
                                  <a:pt x="431" y="76"/>
                                </a:lnTo>
                                <a:lnTo>
                                  <a:pt x="508" y="76"/>
                                </a:lnTo>
                                <a:lnTo>
                                  <a:pt x="508" y="329"/>
                                </a:lnTo>
                                <a:lnTo>
                                  <a:pt x="617" y="329"/>
                                </a:lnTo>
                                <a:lnTo>
                                  <a:pt x="617" y="76"/>
                                </a:lnTo>
                                <a:lnTo>
                                  <a:pt x="693" y="76"/>
                                </a:lnTo>
                                <a:lnTo>
                                  <a:pt x="693" y="329"/>
                                </a:lnTo>
                                <a:lnTo>
                                  <a:pt x="803" y="329"/>
                                </a:lnTo>
                                <a:lnTo>
                                  <a:pt x="803" y="195"/>
                                </a:lnTo>
                                <a:lnTo>
                                  <a:pt x="879" y="195"/>
                                </a:lnTo>
                                <a:lnTo>
                                  <a:pt x="879" y="329"/>
                                </a:lnTo>
                                <a:lnTo>
                                  <a:pt x="988" y="329"/>
                                </a:lnTo>
                                <a:lnTo>
                                  <a:pt x="988" y="0"/>
                                </a:lnTo>
                                <a:close/>
                              </a:path>
                            </a:pathLst>
                          </a:custGeom>
                          <a:solidFill>
                            <a:srgbClr val="0072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7"/>
                        <wps:cNvSpPr>
                          <a:spLocks/>
                        </wps:cNvSpPr>
                        <wps:spPr bwMode="auto">
                          <a:xfrm>
                            <a:off x="10233" y="923"/>
                            <a:ext cx="1327" cy="340"/>
                          </a:xfrm>
                          <a:custGeom>
                            <a:avLst/>
                            <a:gdLst>
                              <a:gd name="T0" fmla="+- 0 10690 10234"/>
                              <a:gd name="T1" fmla="*/ T0 w 1327"/>
                              <a:gd name="T2" fmla="+- 0 1187 924"/>
                              <a:gd name="T3" fmla="*/ 1187 h 340"/>
                              <a:gd name="T4" fmla="+- 0 10675 10234"/>
                              <a:gd name="T5" fmla="*/ T4 w 1327"/>
                              <a:gd name="T6" fmla="+- 0 1133 924"/>
                              <a:gd name="T7" fmla="*/ 1133 h 340"/>
                              <a:gd name="T8" fmla="+- 0 10621 10234"/>
                              <a:gd name="T9" fmla="*/ T8 w 1327"/>
                              <a:gd name="T10" fmla="+- 0 928 924"/>
                              <a:gd name="T11" fmla="*/ 928 h 340"/>
                              <a:gd name="T12" fmla="+- 0 10612 10234"/>
                              <a:gd name="T13" fmla="*/ T12 w 1327"/>
                              <a:gd name="T14" fmla="+- 0 1133 924"/>
                              <a:gd name="T15" fmla="*/ 1133 h 340"/>
                              <a:gd name="T16" fmla="+- 0 10580 10234"/>
                              <a:gd name="T17" fmla="*/ T16 w 1327"/>
                              <a:gd name="T18" fmla="+- 0 985 924"/>
                              <a:gd name="T19" fmla="*/ 985 h 340"/>
                              <a:gd name="T20" fmla="+- 0 10612 10234"/>
                              <a:gd name="T21" fmla="*/ T20 w 1327"/>
                              <a:gd name="T22" fmla="+- 0 1133 924"/>
                              <a:gd name="T23" fmla="*/ 1133 h 340"/>
                              <a:gd name="T24" fmla="+- 0 10539 10234"/>
                              <a:gd name="T25" fmla="*/ T24 w 1327"/>
                              <a:gd name="T26" fmla="+- 0 928 924"/>
                              <a:gd name="T27" fmla="*/ 928 h 340"/>
                              <a:gd name="T28" fmla="+- 0 10456 10234"/>
                              <a:gd name="T29" fmla="*/ T28 w 1327"/>
                              <a:gd name="T30" fmla="+- 0 1133 924"/>
                              <a:gd name="T31" fmla="*/ 1133 h 340"/>
                              <a:gd name="T32" fmla="+- 0 10402 10234"/>
                              <a:gd name="T33" fmla="*/ T32 w 1327"/>
                              <a:gd name="T34" fmla="+- 0 928 924"/>
                              <a:gd name="T35" fmla="*/ 928 h 340"/>
                              <a:gd name="T36" fmla="+- 0 10393 10234"/>
                              <a:gd name="T37" fmla="*/ T36 w 1327"/>
                              <a:gd name="T38" fmla="+- 0 1133 924"/>
                              <a:gd name="T39" fmla="*/ 1133 h 340"/>
                              <a:gd name="T40" fmla="+- 0 10361 10234"/>
                              <a:gd name="T41" fmla="*/ T40 w 1327"/>
                              <a:gd name="T42" fmla="+- 0 985 924"/>
                              <a:gd name="T43" fmla="*/ 985 h 340"/>
                              <a:gd name="T44" fmla="+- 0 10393 10234"/>
                              <a:gd name="T45" fmla="*/ T44 w 1327"/>
                              <a:gd name="T46" fmla="+- 0 1133 924"/>
                              <a:gd name="T47" fmla="*/ 1133 h 340"/>
                              <a:gd name="T48" fmla="+- 0 10320 10234"/>
                              <a:gd name="T49" fmla="*/ T48 w 1327"/>
                              <a:gd name="T50" fmla="+- 0 928 924"/>
                              <a:gd name="T51" fmla="*/ 928 h 340"/>
                              <a:gd name="T52" fmla="+- 0 10302 10234"/>
                              <a:gd name="T53" fmla="*/ T52 w 1327"/>
                              <a:gd name="T54" fmla="+- 0 1257 924"/>
                              <a:gd name="T55" fmla="*/ 1257 h 340"/>
                              <a:gd name="T56" fmla="+- 0 10405 10234"/>
                              <a:gd name="T57" fmla="*/ T56 w 1327"/>
                              <a:gd name="T58" fmla="+- 0 1187 924"/>
                              <a:gd name="T59" fmla="*/ 1187 h 340"/>
                              <a:gd name="T60" fmla="+- 0 10521 10234"/>
                              <a:gd name="T61" fmla="*/ T60 w 1327"/>
                              <a:gd name="T62" fmla="+- 0 1257 924"/>
                              <a:gd name="T63" fmla="*/ 1257 h 340"/>
                              <a:gd name="T64" fmla="+- 0 10624 10234"/>
                              <a:gd name="T65" fmla="*/ T64 w 1327"/>
                              <a:gd name="T66" fmla="+- 0 1187 924"/>
                              <a:gd name="T67" fmla="*/ 1187 h 340"/>
                              <a:gd name="T68" fmla="+- 0 10708 10234"/>
                              <a:gd name="T69" fmla="*/ T68 w 1327"/>
                              <a:gd name="T70" fmla="+- 0 1257 924"/>
                              <a:gd name="T71" fmla="*/ 1257 h 340"/>
                              <a:gd name="T72" fmla="+- 0 10842 10234"/>
                              <a:gd name="T73" fmla="*/ T72 w 1327"/>
                              <a:gd name="T74" fmla="+- 0 1132 924"/>
                              <a:gd name="T75" fmla="*/ 1132 h 340"/>
                              <a:gd name="T76" fmla="+- 0 10830 10234"/>
                              <a:gd name="T77" fmla="*/ T76 w 1327"/>
                              <a:gd name="T78" fmla="+- 0 1200 924"/>
                              <a:gd name="T79" fmla="*/ 1200 h 340"/>
                              <a:gd name="T80" fmla="+- 0 10801 10234"/>
                              <a:gd name="T81" fmla="*/ T80 w 1327"/>
                              <a:gd name="T82" fmla="+- 0 1215 924"/>
                              <a:gd name="T83" fmla="*/ 1215 h 340"/>
                              <a:gd name="T84" fmla="+- 0 10769 10234"/>
                              <a:gd name="T85" fmla="*/ T84 w 1327"/>
                              <a:gd name="T86" fmla="+- 0 1193 924"/>
                              <a:gd name="T87" fmla="*/ 1193 h 340"/>
                              <a:gd name="T88" fmla="+- 0 10759 10234"/>
                              <a:gd name="T89" fmla="*/ T88 w 1327"/>
                              <a:gd name="T90" fmla="+- 0 1098 924"/>
                              <a:gd name="T91" fmla="*/ 1098 h 340"/>
                              <a:gd name="T92" fmla="+- 0 10767 10234"/>
                              <a:gd name="T93" fmla="*/ T92 w 1327"/>
                              <a:gd name="T94" fmla="+- 0 1000 924"/>
                              <a:gd name="T95" fmla="*/ 1000 h 340"/>
                              <a:gd name="T96" fmla="+- 0 10800 10234"/>
                              <a:gd name="T97" fmla="*/ T96 w 1327"/>
                              <a:gd name="T98" fmla="+- 0 972 924"/>
                              <a:gd name="T99" fmla="*/ 972 h 340"/>
                              <a:gd name="T100" fmla="+- 0 10831 10234"/>
                              <a:gd name="T101" fmla="*/ T100 w 1327"/>
                              <a:gd name="T102" fmla="+- 0 988 924"/>
                              <a:gd name="T103" fmla="*/ 988 h 340"/>
                              <a:gd name="T104" fmla="+- 0 10839 10234"/>
                              <a:gd name="T105" fmla="*/ T104 w 1327"/>
                              <a:gd name="T106" fmla="+- 0 1040 924"/>
                              <a:gd name="T107" fmla="*/ 1040 h 340"/>
                              <a:gd name="T108" fmla="+- 0 10902 10234"/>
                              <a:gd name="T109" fmla="*/ T108 w 1327"/>
                              <a:gd name="T110" fmla="+- 0 1002 924"/>
                              <a:gd name="T111" fmla="*/ 1002 h 340"/>
                              <a:gd name="T112" fmla="+- 0 10859 10234"/>
                              <a:gd name="T113" fmla="*/ T112 w 1327"/>
                              <a:gd name="T114" fmla="+- 0 935 924"/>
                              <a:gd name="T115" fmla="*/ 935 h 340"/>
                              <a:gd name="T116" fmla="+- 0 10745 10234"/>
                              <a:gd name="T117" fmla="*/ T116 w 1327"/>
                              <a:gd name="T118" fmla="+- 0 936 924"/>
                              <a:gd name="T119" fmla="*/ 936 h 340"/>
                              <a:gd name="T120" fmla="+- 0 10696 10234"/>
                              <a:gd name="T121" fmla="*/ T120 w 1327"/>
                              <a:gd name="T122" fmla="+- 0 1025 924"/>
                              <a:gd name="T123" fmla="*/ 1025 h 340"/>
                              <a:gd name="T124" fmla="+- 0 10696 10234"/>
                              <a:gd name="T125" fmla="*/ T124 w 1327"/>
                              <a:gd name="T126" fmla="+- 0 1162 924"/>
                              <a:gd name="T127" fmla="*/ 1162 h 340"/>
                              <a:gd name="T128" fmla="+- 0 10745 10234"/>
                              <a:gd name="T129" fmla="*/ T128 w 1327"/>
                              <a:gd name="T130" fmla="+- 0 1251 924"/>
                              <a:gd name="T131" fmla="*/ 1251 h 340"/>
                              <a:gd name="T132" fmla="+- 0 10857 10234"/>
                              <a:gd name="T133" fmla="*/ T132 w 1327"/>
                              <a:gd name="T134" fmla="+- 0 1253 924"/>
                              <a:gd name="T135" fmla="*/ 1253 h 340"/>
                              <a:gd name="T136" fmla="+- 0 10904 10234"/>
                              <a:gd name="T137" fmla="*/ T136 w 1327"/>
                              <a:gd name="T138" fmla="+- 0 1182 924"/>
                              <a:gd name="T139" fmla="*/ 1182 h 340"/>
                              <a:gd name="T140" fmla="+- 0 11130 10234"/>
                              <a:gd name="T141" fmla="*/ T140 w 1327"/>
                              <a:gd name="T142" fmla="+- 0 929 924"/>
                              <a:gd name="T143" fmla="*/ 929 h 340"/>
                              <a:gd name="T144" fmla="+- 0 11064 10234"/>
                              <a:gd name="T145" fmla="*/ T144 w 1327"/>
                              <a:gd name="T146" fmla="+- 0 1055 924"/>
                              <a:gd name="T147" fmla="*/ 1055 h 340"/>
                              <a:gd name="T148" fmla="+- 0 10987 10234"/>
                              <a:gd name="T149" fmla="*/ T148 w 1327"/>
                              <a:gd name="T150" fmla="+- 0 929 924"/>
                              <a:gd name="T151" fmla="*/ 929 h 340"/>
                              <a:gd name="T152" fmla="+- 0 10921 10234"/>
                              <a:gd name="T153" fmla="*/ T152 w 1327"/>
                              <a:gd name="T154" fmla="+- 0 1055 924"/>
                              <a:gd name="T155" fmla="*/ 1055 h 340"/>
                              <a:gd name="T156" fmla="+- 0 10921 10234"/>
                              <a:gd name="T157" fmla="*/ T156 w 1327"/>
                              <a:gd name="T158" fmla="+- 0 1257 924"/>
                              <a:gd name="T159" fmla="*/ 1257 h 340"/>
                              <a:gd name="T160" fmla="+- 0 10987 10234"/>
                              <a:gd name="T161" fmla="*/ T160 w 1327"/>
                              <a:gd name="T162" fmla="+- 0 1111 924"/>
                              <a:gd name="T163" fmla="*/ 1111 h 340"/>
                              <a:gd name="T164" fmla="+- 0 11064 10234"/>
                              <a:gd name="T165" fmla="*/ T164 w 1327"/>
                              <a:gd name="T166" fmla="+- 0 1257 924"/>
                              <a:gd name="T167" fmla="*/ 1257 h 340"/>
                              <a:gd name="T168" fmla="+- 0 11130 10234"/>
                              <a:gd name="T169" fmla="*/ T168 w 1327"/>
                              <a:gd name="T170" fmla="+- 0 1111 924"/>
                              <a:gd name="T171" fmla="*/ 1111 h 340"/>
                              <a:gd name="T172" fmla="+- 0 11130 10234"/>
                              <a:gd name="T173" fmla="*/ T172 w 1327"/>
                              <a:gd name="T174" fmla="+- 0 929 924"/>
                              <a:gd name="T175" fmla="*/ 929 h 340"/>
                              <a:gd name="T176" fmla="+- 0 11211 10234"/>
                              <a:gd name="T177" fmla="*/ T176 w 1327"/>
                              <a:gd name="T178" fmla="+- 0 1202 924"/>
                              <a:gd name="T179" fmla="*/ 1202 h 340"/>
                              <a:gd name="T180" fmla="+- 0 11321 10234"/>
                              <a:gd name="T181" fmla="*/ T180 w 1327"/>
                              <a:gd name="T182" fmla="+- 0 1114 924"/>
                              <a:gd name="T183" fmla="*/ 1114 h 340"/>
                              <a:gd name="T184" fmla="+- 0 11211 10234"/>
                              <a:gd name="T185" fmla="*/ T184 w 1327"/>
                              <a:gd name="T186" fmla="+- 0 1060 924"/>
                              <a:gd name="T187" fmla="*/ 1060 h 340"/>
                              <a:gd name="T188" fmla="+- 0 11328 10234"/>
                              <a:gd name="T189" fmla="*/ T188 w 1327"/>
                              <a:gd name="T190" fmla="+- 0 982 924"/>
                              <a:gd name="T191" fmla="*/ 982 h 340"/>
                              <a:gd name="T192" fmla="+- 0 11145 10234"/>
                              <a:gd name="T193" fmla="*/ T192 w 1327"/>
                              <a:gd name="T194" fmla="+- 0 928 924"/>
                              <a:gd name="T195" fmla="*/ 928 h 340"/>
                              <a:gd name="T196" fmla="+- 0 11145 10234"/>
                              <a:gd name="T197" fmla="*/ T196 w 1327"/>
                              <a:gd name="T198" fmla="+- 0 1060 924"/>
                              <a:gd name="T199" fmla="*/ 1060 h 340"/>
                              <a:gd name="T200" fmla="+- 0 11145 10234"/>
                              <a:gd name="T201" fmla="*/ T200 w 1327"/>
                              <a:gd name="T202" fmla="+- 0 1202 924"/>
                              <a:gd name="T203" fmla="*/ 1202 h 340"/>
                              <a:gd name="T204" fmla="+- 0 11333 10234"/>
                              <a:gd name="T205" fmla="*/ T204 w 1327"/>
                              <a:gd name="T206" fmla="+- 0 1256 924"/>
                              <a:gd name="T207" fmla="*/ 1256 h 340"/>
                              <a:gd name="T208" fmla="+- 0 11560 10234"/>
                              <a:gd name="T209" fmla="*/ T208 w 1327"/>
                              <a:gd name="T210" fmla="+- 0 928 924"/>
                              <a:gd name="T211" fmla="*/ 928 h 340"/>
                              <a:gd name="T212" fmla="+- 0 11500 10234"/>
                              <a:gd name="T213" fmla="*/ T212 w 1327"/>
                              <a:gd name="T214" fmla="+- 0 1153 924"/>
                              <a:gd name="T215" fmla="*/ 1153 h 340"/>
                              <a:gd name="T216" fmla="+- 0 11419 10234"/>
                              <a:gd name="T217" fmla="*/ T216 w 1327"/>
                              <a:gd name="T218" fmla="+- 0 928 924"/>
                              <a:gd name="T219" fmla="*/ 928 h 340"/>
                              <a:gd name="T220" fmla="+- 0 11343 10234"/>
                              <a:gd name="T221" fmla="*/ T220 w 1327"/>
                              <a:gd name="T222" fmla="+- 0 1257 924"/>
                              <a:gd name="T223" fmla="*/ 1257 h 340"/>
                              <a:gd name="T224" fmla="+- 0 11403 10234"/>
                              <a:gd name="T225" fmla="*/ T224 w 1327"/>
                              <a:gd name="T226" fmla="+- 0 1027 924"/>
                              <a:gd name="T227" fmla="*/ 1027 h 340"/>
                              <a:gd name="T228" fmla="+- 0 11485 10234"/>
                              <a:gd name="T229" fmla="*/ T228 w 1327"/>
                              <a:gd name="T230" fmla="+- 0 1257 924"/>
                              <a:gd name="T231" fmla="*/ 1257 h 340"/>
                              <a:gd name="T232" fmla="+- 0 11560 10234"/>
                              <a:gd name="T233" fmla="*/ T232 w 1327"/>
                              <a:gd name="T234" fmla="+- 0 928 924"/>
                              <a:gd name="T235" fmla="*/ 928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327" h="340">
                                <a:moveTo>
                                  <a:pt x="474" y="333"/>
                                </a:moveTo>
                                <a:lnTo>
                                  <a:pt x="456" y="263"/>
                                </a:lnTo>
                                <a:lnTo>
                                  <a:pt x="455" y="263"/>
                                </a:lnTo>
                                <a:lnTo>
                                  <a:pt x="441" y="209"/>
                                </a:lnTo>
                                <a:lnTo>
                                  <a:pt x="402" y="61"/>
                                </a:lnTo>
                                <a:lnTo>
                                  <a:pt x="387" y="4"/>
                                </a:lnTo>
                                <a:lnTo>
                                  <a:pt x="378" y="4"/>
                                </a:lnTo>
                                <a:lnTo>
                                  <a:pt x="378" y="209"/>
                                </a:lnTo>
                                <a:lnTo>
                                  <a:pt x="314" y="209"/>
                                </a:lnTo>
                                <a:lnTo>
                                  <a:pt x="346" y="61"/>
                                </a:lnTo>
                                <a:lnTo>
                                  <a:pt x="347" y="61"/>
                                </a:lnTo>
                                <a:lnTo>
                                  <a:pt x="378" y="209"/>
                                </a:lnTo>
                                <a:lnTo>
                                  <a:pt x="378" y="4"/>
                                </a:lnTo>
                                <a:lnTo>
                                  <a:pt x="305" y="4"/>
                                </a:lnTo>
                                <a:lnTo>
                                  <a:pt x="237" y="263"/>
                                </a:lnTo>
                                <a:lnTo>
                                  <a:pt x="222" y="209"/>
                                </a:lnTo>
                                <a:lnTo>
                                  <a:pt x="183" y="61"/>
                                </a:lnTo>
                                <a:lnTo>
                                  <a:pt x="168" y="4"/>
                                </a:lnTo>
                                <a:lnTo>
                                  <a:pt x="159" y="4"/>
                                </a:lnTo>
                                <a:lnTo>
                                  <a:pt x="159" y="209"/>
                                </a:lnTo>
                                <a:lnTo>
                                  <a:pt x="95" y="209"/>
                                </a:lnTo>
                                <a:lnTo>
                                  <a:pt x="127" y="61"/>
                                </a:lnTo>
                                <a:lnTo>
                                  <a:pt x="128" y="61"/>
                                </a:lnTo>
                                <a:lnTo>
                                  <a:pt x="159" y="209"/>
                                </a:lnTo>
                                <a:lnTo>
                                  <a:pt x="159" y="4"/>
                                </a:lnTo>
                                <a:lnTo>
                                  <a:pt x="86" y="4"/>
                                </a:lnTo>
                                <a:lnTo>
                                  <a:pt x="0" y="333"/>
                                </a:lnTo>
                                <a:lnTo>
                                  <a:pt x="68" y="333"/>
                                </a:lnTo>
                                <a:lnTo>
                                  <a:pt x="84" y="263"/>
                                </a:lnTo>
                                <a:lnTo>
                                  <a:pt x="171" y="263"/>
                                </a:lnTo>
                                <a:lnTo>
                                  <a:pt x="186" y="333"/>
                                </a:lnTo>
                                <a:lnTo>
                                  <a:pt x="287" y="333"/>
                                </a:lnTo>
                                <a:lnTo>
                                  <a:pt x="302" y="263"/>
                                </a:lnTo>
                                <a:lnTo>
                                  <a:pt x="390" y="263"/>
                                </a:lnTo>
                                <a:lnTo>
                                  <a:pt x="405" y="333"/>
                                </a:lnTo>
                                <a:lnTo>
                                  <a:pt x="474" y="333"/>
                                </a:lnTo>
                                <a:close/>
                                <a:moveTo>
                                  <a:pt x="674" y="208"/>
                                </a:moveTo>
                                <a:lnTo>
                                  <a:pt x="608" y="208"/>
                                </a:lnTo>
                                <a:lnTo>
                                  <a:pt x="605" y="250"/>
                                </a:lnTo>
                                <a:lnTo>
                                  <a:pt x="596" y="276"/>
                                </a:lnTo>
                                <a:lnTo>
                                  <a:pt x="583" y="288"/>
                                </a:lnTo>
                                <a:lnTo>
                                  <a:pt x="567" y="291"/>
                                </a:lnTo>
                                <a:lnTo>
                                  <a:pt x="548" y="286"/>
                                </a:lnTo>
                                <a:lnTo>
                                  <a:pt x="535" y="269"/>
                                </a:lnTo>
                                <a:lnTo>
                                  <a:pt x="527" y="234"/>
                                </a:lnTo>
                                <a:lnTo>
                                  <a:pt x="525" y="174"/>
                                </a:lnTo>
                                <a:lnTo>
                                  <a:pt x="526" y="115"/>
                                </a:lnTo>
                                <a:lnTo>
                                  <a:pt x="533" y="76"/>
                                </a:lnTo>
                                <a:lnTo>
                                  <a:pt x="545" y="55"/>
                                </a:lnTo>
                                <a:lnTo>
                                  <a:pt x="566" y="48"/>
                                </a:lnTo>
                                <a:lnTo>
                                  <a:pt x="584" y="52"/>
                                </a:lnTo>
                                <a:lnTo>
                                  <a:pt x="597" y="64"/>
                                </a:lnTo>
                                <a:lnTo>
                                  <a:pt x="603" y="86"/>
                                </a:lnTo>
                                <a:lnTo>
                                  <a:pt x="605" y="116"/>
                                </a:lnTo>
                                <a:lnTo>
                                  <a:pt x="671" y="116"/>
                                </a:lnTo>
                                <a:lnTo>
                                  <a:pt x="668" y="78"/>
                                </a:lnTo>
                                <a:lnTo>
                                  <a:pt x="656" y="40"/>
                                </a:lnTo>
                                <a:lnTo>
                                  <a:pt x="625" y="11"/>
                                </a:lnTo>
                                <a:lnTo>
                                  <a:pt x="570" y="0"/>
                                </a:lnTo>
                                <a:lnTo>
                                  <a:pt x="511" y="12"/>
                                </a:lnTo>
                                <a:lnTo>
                                  <a:pt x="477" y="47"/>
                                </a:lnTo>
                                <a:lnTo>
                                  <a:pt x="462" y="101"/>
                                </a:lnTo>
                                <a:lnTo>
                                  <a:pt x="459" y="169"/>
                                </a:lnTo>
                                <a:lnTo>
                                  <a:pt x="462" y="238"/>
                                </a:lnTo>
                                <a:lnTo>
                                  <a:pt x="477" y="291"/>
                                </a:lnTo>
                                <a:lnTo>
                                  <a:pt x="511" y="327"/>
                                </a:lnTo>
                                <a:lnTo>
                                  <a:pt x="570" y="339"/>
                                </a:lnTo>
                                <a:lnTo>
                                  <a:pt x="623" y="329"/>
                                </a:lnTo>
                                <a:lnTo>
                                  <a:pt x="654" y="300"/>
                                </a:lnTo>
                                <a:lnTo>
                                  <a:pt x="670" y="258"/>
                                </a:lnTo>
                                <a:lnTo>
                                  <a:pt x="674" y="208"/>
                                </a:lnTo>
                                <a:close/>
                                <a:moveTo>
                                  <a:pt x="896" y="5"/>
                                </a:moveTo>
                                <a:lnTo>
                                  <a:pt x="830" y="5"/>
                                </a:lnTo>
                                <a:lnTo>
                                  <a:pt x="830" y="131"/>
                                </a:lnTo>
                                <a:lnTo>
                                  <a:pt x="753" y="131"/>
                                </a:lnTo>
                                <a:lnTo>
                                  <a:pt x="753" y="5"/>
                                </a:lnTo>
                                <a:lnTo>
                                  <a:pt x="687" y="5"/>
                                </a:lnTo>
                                <a:lnTo>
                                  <a:pt x="687" y="131"/>
                                </a:lnTo>
                                <a:lnTo>
                                  <a:pt x="687" y="187"/>
                                </a:lnTo>
                                <a:lnTo>
                                  <a:pt x="687" y="333"/>
                                </a:lnTo>
                                <a:lnTo>
                                  <a:pt x="753" y="333"/>
                                </a:lnTo>
                                <a:lnTo>
                                  <a:pt x="753" y="187"/>
                                </a:lnTo>
                                <a:lnTo>
                                  <a:pt x="830" y="187"/>
                                </a:lnTo>
                                <a:lnTo>
                                  <a:pt x="830" y="333"/>
                                </a:lnTo>
                                <a:lnTo>
                                  <a:pt x="896" y="333"/>
                                </a:lnTo>
                                <a:lnTo>
                                  <a:pt x="896" y="187"/>
                                </a:lnTo>
                                <a:lnTo>
                                  <a:pt x="896" y="131"/>
                                </a:lnTo>
                                <a:lnTo>
                                  <a:pt x="896" y="5"/>
                                </a:lnTo>
                                <a:close/>
                                <a:moveTo>
                                  <a:pt x="1099" y="278"/>
                                </a:moveTo>
                                <a:lnTo>
                                  <a:pt x="977" y="278"/>
                                </a:lnTo>
                                <a:lnTo>
                                  <a:pt x="977" y="190"/>
                                </a:lnTo>
                                <a:lnTo>
                                  <a:pt x="1087" y="190"/>
                                </a:lnTo>
                                <a:lnTo>
                                  <a:pt x="1087" y="136"/>
                                </a:lnTo>
                                <a:lnTo>
                                  <a:pt x="977" y="136"/>
                                </a:lnTo>
                                <a:lnTo>
                                  <a:pt x="977" y="58"/>
                                </a:lnTo>
                                <a:lnTo>
                                  <a:pt x="1094" y="58"/>
                                </a:lnTo>
                                <a:lnTo>
                                  <a:pt x="1094" y="4"/>
                                </a:lnTo>
                                <a:lnTo>
                                  <a:pt x="911" y="4"/>
                                </a:lnTo>
                                <a:lnTo>
                                  <a:pt x="911" y="58"/>
                                </a:lnTo>
                                <a:lnTo>
                                  <a:pt x="911" y="136"/>
                                </a:lnTo>
                                <a:lnTo>
                                  <a:pt x="911" y="190"/>
                                </a:lnTo>
                                <a:lnTo>
                                  <a:pt x="911" y="278"/>
                                </a:lnTo>
                                <a:lnTo>
                                  <a:pt x="911" y="332"/>
                                </a:lnTo>
                                <a:lnTo>
                                  <a:pt x="1099" y="332"/>
                                </a:lnTo>
                                <a:lnTo>
                                  <a:pt x="1099" y="278"/>
                                </a:lnTo>
                                <a:close/>
                                <a:moveTo>
                                  <a:pt x="1326" y="4"/>
                                </a:moveTo>
                                <a:lnTo>
                                  <a:pt x="1266" y="4"/>
                                </a:lnTo>
                                <a:lnTo>
                                  <a:pt x="1266" y="229"/>
                                </a:lnTo>
                                <a:lnTo>
                                  <a:pt x="1265" y="229"/>
                                </a:lnTo>
                                <a:lnTo>
                                  <a:pt x="1185" y="4"/>
                                </a:lnTo>
                                <a:lnTo>
                                  <a:pt x="1109" y="4"/>
                                </a:lnTo>
                                <a:lnTo>
                                  <a:pt x="1109" y="333"/>
                                </a:lnTo>
                                <a:lnTo>
                                  <a:pt x="1169" y="333"/>
                                </a:lnTo>
                                <a:lnTo>
                                  <a:pt x="1169" y="103"/>
                                </a:lnTo>
                                <a:lnTo>
                                  <a:pt x="1170" y="103"/>
                                </a:lnTo>
                                <a:lnTo>
                                  <a:pt x="1251" y="333"/>
                                </a:lnTo>
                                <a:lnTo>
                                  <a:pt x="1326" y="333"/>
                                </a:lnTo>
                                <a:lnTo>
                                  <a:pt x="1326" y="4"/>
                                </a:lnTo>
                                <a:close/>
                              </a:path>
                            </a:pathLst>
                          </a:custGeom>
                          <a:solidFill>
                            <a:srgbClr val="86BB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Rectangle 6"/>
                        <wps:cNvSpPr>
                          <a:spLocks noChangeArrowheads="1"/>
                        </wps:cNvSpPr>
                        <wps:spPr bwMode="auto">
                          <a:xfrm>
                            <a:off x="8759" y="927"/>
                            <a:ext cx="16" cy="688"/>
                          </a:xfrm>
                          <a:prstGeom prst="rect">
                            <a:avLst/>
                          </a:prstGeom>
                          <a:solidFill>
                            <a:srgbClr val="0072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9E7A29" id="Group 2" o:spid="_x0000_s1026" style="position:absolute;margin-left:375.9pt;margin-top:36.9pt;width:140.1pt;height:34.8pt;z-index:-251662848;mso-position-horizontal-relative:margin;mso-position-vertical-relative:page" coordorigin="8759,923" coordsize="2802,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">
                <v:shape id="AutoShape 10" o:spid="_x0000_s1027" style="position:absolute;left:9669;top:1279;width:1892;height:340;visibility:visible;mso-wrap-style:square;v-text-anchor:top" coordsize="189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" path="m208,6r-66,l142,234r-1,23l135,275r-12,12l104,291,85,287,73,275,67,257,65,234,65,6,,6,,234r8,53l32,320r33,15l104,339r39,-4l176,318r23,-32l208,234,208,6xm441,6r-60,l381,230r-1,l300,6r-76,l224,333r61,l285,104r1,l366,333r75,l441,6xm524,6r-66,l458,333r66,l524,6xm763,6r-68,l647,248r-2,l599,6r-70,l604,333r84,l763,6xm956,278r-121,l835,190r110,l945,136r-110,l835,60r117,l952,6,769,6r,54l769,136r,54l769,278r,54l956,332r,-54xm1193,330r-8,-7l1181,311r-2,-17l1178,272r-2,-44l1168,198r-3,-3l1152,180r-27,-8l1125,171r24,-10l1162,149r4,-5l1176,120r4,-30l1174,55r,-1l1157,27,1129,12,1114,9r,91l1111,123r-10,15l1085,146r-21,3l1037,149r,-94l1068,55r20,3l1102,66r9,14l1114,100r,-91l1093,6,971,6r,327l1037,333r,-138l1072,195r17,3l1101,206r7,13l1111,236r2,63l1113,311r2,13l1121,333r72,l1193,330xm1403,239r-3,-27l1390,189r-19,-19l1340,153r-50,-22l1272,122r-10,-10l1257,100r-1,-14l1257,72r6,-12l1275,52r18,-4l1309,52r11,9l1327,76r2,21l1392,97r,-9l1384,48,1363,20,1331,5,1291,r-42,6l1217,24r-20,30l1190,96r5,36l1211,158r26,20l1275,195r28,11l1321,217r10,14l1334,251r-3,17l1322,281r-13,7l1295,291r-22,-4l1260,277r-7,-16l1251,241r,-10l1185,231r,13l1191,285r18,29l1241,333r48,6l1337,333r36,-18l1395,284r8,-45xm1477,6r-66,l1411,333r66,l1477,6xm1891,6r-72,l1774,133r-1,l1730,6r-244,l1486,60r71,l1557,333r66,l1623,60r56,l1740,204r,129l1806,333r,-129l1891,6xe" fillcolor="#86bbe6" stroked="f">
                  <v:path arrowok="t" o:connecttype="custom" o:connectlocs="141,1537;85,1567;65,1286;32,1600;176,1598;441,1286;300,1286;285,1384;441,1286;524,1613;647,1528;604,1613;835,1558;835,1416;769,1286;769,1558;1193,1610;1178,1552;1152,1460;1162,1429;1174,1335;1114,1289;1085,1426;1068,1335;1114,1380;971,1613;1089,1478;1113,1579;1193,1613;1390,1469;1272,1402;1257,1352;1309,1332;1392,1377;1331,1285;1197,1334;1237,1458;1331,1511;1309,1568;1253,1541;1185,1524;1289,1619;1403,1519;1477,1613;1774,1413;1486,1340;1623,1340;1806,1613" o:connectangles="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8981;top:928;width:317;height: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">
                  <v:imagedata r:id="rId7" o:title=""/>
                </v:shape>
                <v:shape id="Freeform 8" o:spid="_x0000_s1029" style="position:absolute;left:9242;top:928;width:989;height:329;visibility:visible;mso-wrap-style:square;v-text-anchor:top" coordsize="9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" path="m988,l879,r,119l803,119,803,,361,r,148l362,155r1,6l364,169,334,101,292,,179,r,148l181,154r2,8l183,169,147,84,112,,,,2,7r3,6l8,20,139,329r113,l252,157r3,10l259,186r59,143l431,329r,-253l508,76r,253l617,329r,-253l693,76r,253l803,329r,-134l879,195r,134l988,329,988,xe" fillcolor="#0072bc" stroked="f">
                  <v:path arrowok="t" o:connecttype="custom" o:connectlocs="988,928;879,928;879,1047;803,1047;803,928;361,928;361,1076;362,1083;363,1089;364,1097;334,1029;292,928;179,928;179,1076;181,1082;183,1090;183,1097;147,1012;112,928;0,928;2,935;5,941;8,948;139,1257;252,1257;252,1085;255,1095;259,1114;318,1257;431,1257;431,1004;508,1004;508,1257;617,1257;617,1004;693,1004;693,1257;803,1257;803,1123;879,1123;879,1257;988,1257;988,928" o:connectangles="0,0,0,0,0,0,0,0,0,0,0,0,0,0,0,0,0,0,0,0,0,0,0,0,0,0,0,0,0,0,0,0,0,0,0,0,0,0,0,0,0,0,0"/>
                </v:shape>
                <v:shape id="AutoShape 7" o:spid="_x0000_s1030" style="position:absolute;left:10233;top:923;width:1327;height:340;visibility:visible;mso-wrap-style:square;v-text-anchor:top" coordsize="132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" path="m474,333l456,263r-1,l441,209,402,61,387,4r-9,l378,209r-64,l346,61r1,l378,209,378,4r-73,l237,263,222,209,183,61,168,4r-9,l159,209r-64,l127,61r1,l159,209,159,4,86,4,,333r68,l84,263r87,l186,333r101,l302,263r88,l405,333r69,xm674,208r-66,l605,250r-9,26l583,288r-16,3l548,286,535,269r-8,-35l525,174r1,-59l533,76,545,55r21,-7l584,52r13,12l603,86r2,30l671,116,668,78,656,40,625,11,570,,511,12,477,47r-15,54l459,169r3,69l477,291r34,36l570,339r53,-10l654,300r16,-42l674,208xm896,5r-66,l830,131r-77,l753,5r-66,l687,131r,56l687,333r66,l753,187r77,l830,333r66,l896,187r,-56l896,5xm1099,278r-122,l977,190r110,l1087,136r-110,l977,58r117,l1094,4,911,4r,54l911,136r,54l911,278r,54l1099,332r,-54xm1326,4r-60,l1266,229r-1,l1185,4r-76,l1109,333r60,l1169,103r1,l1251,333r75,l1326,4xe" fillcolor="#86bbe6" stroked="f">
                  <v:path arrowok="t" o:connecttype="custom" o:connectlocs="456,1187;441,1133;387,928;378,1133;346,985;378,1133;305,928;222,1133;168,928;159,1133;127,985;159,1133;86,928;68,1257;171,1187;287,1257;390,1187;474,1257;608,1132;596,1200;567,1215;535,1193;525,1098;533,1000;566,972;597,988;605,1040;668,1002;625,935;511,936;462,1025;462,1162;511,1251;623,1253;670,1182;896,929;830,1055;753,929;687,1055;687,1257;753,1111;830,1257;896,1111;896,929;977,1202;1087,1114;977,1060;1094,982;911,928;911,1060;911,1202;1099,1256;1326,928;1266,1153;1185,928;1109,1257;1169,1027;1251,1257;1326,928" o:connectangles="0,0,0,0,0,0,0,0,0,0,0,0,0,0,0,0,0,0,0,0,0,0,0,0,0,0,0,0,0,0,0,0,0,0,0,0,0,0,0,0,0,0,0,0,0,0,0,0,0,0,0,0,0,0,0,0,0,0,0"/>
                </v:shape>
                <v:rect id="Rectangle 6" o:spid="_x0000_s1031" style="position:absolute;left:8759;top:927;width:16;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" fillcolor="#0072bc" stroked="f"/>
                <w10:wrap anchorx="margin" anchory="page"/>
              </v:group>
            </w:pict>
          </mc:Fallback>
        </mc:AlternateContent>
      </w:r>
      <w:r w:rsidRPr="00F723A5">
        <w:rPr>
          <w:rFonts w:ascii="Times New Roman" w:eastAsia="Arial" w:cs="Arial"/>
          <w:sz w:val="20"/>
        </w:rPr>
        <w:t> </w:t>
      </w:r>
      <w:r w:rsidRPr="00F723A5">
        <w:rPr>
          <w:rFonts w:ascii="Times New Roman" w:eastAsia="Arial" w:cs="Arial"/>
          <w:sz w:val="20"/>
          <w:szCs w:val="24"/>
        </w:rPr>
        <w:tab/>
      </w:r>
    </w:p>
    <w:p w14:paraId="288B453C"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01EBCD4B"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4E2F5617" w14:textId="77777777" w:rsidR="000E784F" w:rsidRPr="00F723A5" w:rsidRDefault="000E784F" w:rsidP="000E784F">
      <w:pPr>
        <w:widowControl w:val="0"/>
        <w:tabs>
          <w:tab w:val="left" w:pos="6265"/>
        </w:tabs>
        <w:autoSpaceDE w:val="0"/>
        <w:autoSpaceDN w:val="0"/>
        <w:spacing w:after="0" w:line="240" w:lineRule="auto"/>
        <w:rPr>
          <w:rFonts w:ascii="Times New Roman" w:eastAsia="Arial" w:cs="Arial"/>
          <w:sz w:val="20"/>
          <w:szCs w:val="24"/>
        </w:rPr>
      </w:pPr>
      <w:r w:rsidRPr="00F723A5">
        <w:rPr>
          <w:rFonts w:ascii="Times New Roman" w:eastAsia="Arial" w:cs="Arial"/>
          <w:sz w:val="20"/>
          <w:szCs w:val="24"/>
        </w:rPr>
        <w:tab/>
      </w:r>
    </w:p>
    <w:p w14:paraId="090691C5"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5C12DBC7"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5A863762"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6A079F7D"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417E6609"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291D4921" w14:textId="77777777" w:rsidR="000E784F" w:rsidRPr="00F723A5" w:rsidRDefault="000E784F" w:rsidP="000E784F">
      <w:pPr>
        <w:widowControl w:val="0"/>
        <w:tabs>
          <w:tab w:val="left" w:pos="7323"/>
        </w:tabs>
        <w:autoSpaceDE w:val="0"/>
        <w:autoSpaceDN w:val="0"/>
        <w:spacing w:after="0" w:line="240" w:lineRule="auto"/>
        <w:rPr>
          <w:rFonts w:ascii="Times New Roman" w:eastAsia="Arial" w:cs="Arial"/>
          <w:sz w:val="20"/>
        </w:rPr>
      </w:pPr>
      <w:r w:rsidRPr="00F723A5">
        <w:rPr>
          <w:rFonts w:ascii="Times New Roman" w:eastAsia="Arial" w:cs="Arial"/>
          <w:sz w:val="20"/>
          <w:szCs w:val="24"/>
        </w:rPr>
        <w:tab/>
      </w:r>
    </w:p>
    <w:p w14:paraId="638B3301"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6E309A28" w14:textId="77777777" w:rsidR="000E784F" w:rsidRPr="00DB50B0" w:rsidRDefault="000E784F" w:rsidP="000E784F">
      <w:pPr>
        <w:pStyle w:val="Default"/>
        <w:jc w:val="center"/>
        <w:rPr>
          <w:lang w:val="en-US"/>
        </w:rPr>
      </w:pPr>
      <w:r w:rsidRPr="411858CD">
        <w:rPr>
          <w:rFonts w:asciiTheme="majorHAnsi" w:hAnsiTheme="majorHAnsi"/>
          <w:b/>
          <w:bCs/>
          <w:color w:val="auto"/>
          <w:sz w:val="32"/>
          <w:szCs w:val="32"/>
          <w:lang w:val="en-GB"/>
        </w:rPr>
        <w:t>Paper</w:t>
      </w:r>
    </w:p>
    <w:p w14:paraId="5996E6D7" w14:textId="77777777" w:rsidR="000E784F" w:rsidRPr="00F723A5" w:rsidRDefault="000E784F" w:rsidP="000E784F">
      <w:pPr>
        <w:pStyle w:val="Default"/>
        <w:jc w:val="center"/>
        <w:rPr>
          <w:rFonts w:asciiTheme="majorHAnsi" w:hAnsiTheme="majorHAnsi"/>
          <w:b/>
          <w:color w:val="auto"/>
          <w:lang w:val="en-US"/>
        </w:rPr>
      </w:pPr>
    </w:p>
    <w:p w14:paraId="0D22BF1E" w14:textId="77777777" w:rsidR="000E784F" w:rsidRPr="00F723A5" w:rsidRDefault="000E784F" w:rsidP="000E784F">
      <w:pPr>
        <w:pStyle w:val="Default"/>
        <w:jc w:val="center"/>
        <w:rPr>
          <w:rFonts w:asciiTheme="majorHAnsi" w:hAnsiTheme="majorHAnsi"/>
          <w:b/>
          <w:color w:val="auto"/>
          <w:lang w:val="en-US"/>
        </w:rPr>
      </w:pPr>
    </w:p>
    <w:p w14:paraId="090AA2CA" w14:textId="77777777" w:rsidR="000E784F" w:rsidRPr="00F723A5" w:rsidRDefault="000E784F" w:rsidP="000E784F">
      <w:pPr>
        <w:pStyle w:val="Default"/>
        <w:jc w:val="center"/>
        <w:rPr>
          <w:rFonts w:asciiTheme="majorHAnsi" w:hAnsiTheme="majorHAnsi"/>
          <w:color w:val="auto"/>
          <w:lang w:val="en-US"/>
        </w:rPr>
      </w:pPr>
    </w:p>
    <w:p w14:paraId="7813DE65" w14:textId="77777777" w:rsidR="000E784F" w:rsidRPr="00F723A5" w:rsidRDefault="000E784F" w:rsidP="000E784F">
      <w:pPr>
        <w:pStyle w:val="Default"/>
        <w:jc w:val="center"/>
        <w:rPr>
          <w:rFonts w:asciiTheme="majorHAnsi" w:hAnsiTheme="majorHAnsi"/>
          <w:color w:val="auto"/>
          <w:lang w:val="en-US"/>
        </w:rPr>
      </w:pPr>
      <w:r w:rsidRPr="00F723A5">
        <w:rPr>
          <w:rFonts w:asciiTheme="majorHAnsi" w:hAnsiTheme="majorHAnsi"/>
          <w:color w:val="auto"/>
          <w:lang w:val="en-US"/>
        </w:rPr>
        <w:t>on</w:t>
      </w:r>
    </w:p>
    <w:p w14:paraId="2D47BFAE" w14:textId="77777777" w:rsidR="000E784F" w:rsidRPr="00F723A5" w:rsidRDefault="000E784F" w:rsidP="000E784F">
      <w:pPr>
        <w:pStyle w:val="Default"/>
        <w:jc w:val="center"/>
        <w:rPr>
          <w:rFonts w:asciiTheme="majorHAnsi" w:hAnsiTheme="majorHAnsi"/>
          <w:color w:val="auto"/>
          <w:lang w:val="en-US"/>
        </w:rPr>
      </w:pPr>
    </w:p>
    <w:p w14:paraId="34913AC5" w14:textId="77777777" w:rsidR="000E784F" w:rsidRPr="00F723A5" w:rsidRDefault="000E784F" w:rsidP="000E784F">
      <w:pPr>
        <w:pStyle w:val="Default"/>
        <w:jc w:val="center"/>
        <w:rPr>
          <w:rFonts w:asciiTheme="majorHAnsi" w:hAnsiTheme="majorHAnsi"/>
          <w:color w:val="auto"/>
          <w:lang w:val="en-US"/>
        </w:rPr>
      </w:pPr>
    </w:p>
    <w:p w14:paraId="42887920" w14:textId="77777777" w:rsidR="000E784F" w:rsidRPr="00F723A5" w:rsidRDefault="000E784F" w:rsidP="000E784F">
      <w:pPr>
        <w:pStyle w:val="Default"/>
        <w:jc w:val="center"/>
        <w:rPr>
          <w:rFonts w:asciiTheme="majorHAnsi" w:hAnsiTheme="majorHAnsi"/>
          <w:color w:val="auto"/>
          <w:lang w:val="en-US"/>
        </w:rPr>
      </w:pPr>
    </w:p>
    <w:p w14:paraId="089B8723" w14:textId="77777777" w:rsidR="000E784F" w:rsidRPr="00CE6D6D" w:rsidRDefault="000E784F" w:rsidP="000E784F">
      <w:pPr>
        <w:pStyle w:val="Default"/>
        <w:jc w:val="center"/>
        <w:rPr>
          <w:rFonts w:asciiTheme="majorHAnsi" w:hAnsiTheme="majorHAnsi"/>
          <w:b/>
          <w:color w:val="auto"/>
          <w:sz w:val="36"/>
          <w:szCs w:val="36"/>
          <w:lang w:val="en-GB"/>
        </w:rPr>
      </w:pPr>
      <w:r w:rsidRPr="00CE6D6D">
        <w:rPr>
          <w:rFonts w:asciiTheme="majorHAnsi" w:hAnsiTheme="majorHAnsi"/>
          <w:b/>
          <w:color w:val="auto"/>
          <w:sz w:val="36"/>
          <w:szCs w:val="36"/>
          <w:lang w:val="en-GB"/>
        </w:rPr>
        <w:t xml:space="preserve">Influence of major patches on the number of </w:t>
      </w:r>
      <w:r>
        <w:rPr>
          <w:rFonts w:asciiTheme="majorHAnsi" w:hAnsiTheme="majorHAnsi"/>
          <w:b/>
          <w:color w:val="auto"/>
          <w:sz w:val="36"/>
          <w:szCs w:val="36"/>
          <w:lang w:val="en-GB"/>
        </w:rPr>
        <w:t>concurrent</w:t>
      </w:r>
      <w:r w:rsidRPr="00CE6D6D">
        <w:rPr>
          <w:rFonts w:asciiTheme="majorHAnsi" w:hAnsiTheme="majorHAnsi"/>
          <w:b/>
          <w:color w:val="auto"/>
          <w:sz w:val="36"/>
          <w:szCs w:val="36"/>
          <w:lang w:val="en-GB"/>
        </w:rPr>
        <w:t xml:space="preserve"> players of computer games on Steam</w:t>
      </w:r>
    </w:p>
    <w:p w14:paraId="519BFA45" w14:textId="77777777" w:rsidR="000E784F" w:rsidRPr="00F723A5" w:rsidRDefault="000E784F" w:rsidP="000E784F">
      <w:pPr>
        <w:pStyle w:val="Default"/>
        <w:rPr>
          <w:rFonts w:asciiTheme="majorHAnsi" w:hAnsiTheme="majorHAnsi"/>
          <w:color w:val="auto"/>
          <w:sz w:val="22"/>
          <w:szCs w:val="22"/>
          <w:lang w:val="en-US"/>
        </w:rPr>
      </w:pPr>
    </w:p>
    <w:p w14:paraId="67DCF784" w14:textId="77777777" w:rsidR="000E784F" w:rsidRPr="00F723A5" w:rsidRDefault="000E784F" w:rsidP="000E784F">
      <w:pPr>
        <w:pStyle w:val="Default"/>
        <w:rPr>
          <w:rFonts w:asciiTheme="majorHAnsi" w:hAnsiTheme="majorHAnsi"/>
          <w:color w:val="auto"/>
          <w:sz w:val="22"/>
          <w:szCs w:val="22"/>
          <w:lang w:val="en-US"/>
        </w:rPr>
      </w:pPr>
    </w:p>
    <w:p w14:paraId="2310639D" w14:textId="77777777" w:rsidR="000E784F" w:rsidRPr="00F723A5" w:rsidRDefault="000E784F" w:rsidP="000E784F">
      <w:pPr>
        <w:pStyle w:val="Default"/>
        <w:jc w:val="center"/>
        <w:rPr>
          <w:rFonts w:asciiTheme="majorHAnsi" w:hAnsiTheme="majorHAnsi"/>
          <w:color w:val="auto"/>
          <w:sz w:val="22"/>
          <w:szCs w:val="22"/>
          <w:lang w:val="en-US"/>
        </w:rPr>
      </w:pPr>
    </w:p>
    <w:p w14:paraId="46CA3DA6" w14:textId="77777777" w:rsidR="000E784F" w:rsidRPr="00C749C5" w:rsidRDefault="000E784F" w:rsidP="000E784F">
      <w:pPr>
        <w:pStyle w:val="Default"/>
        <w:spacing w:line="300" w:lineRule="auto"/>
        <w:rPr>
          <w:rFonts w:asciiTheme="majorHAnsi" w:hAnsiTheme="majorHAnsi"/>
          <w:color w:val="auto"/>
          <w:sz w:val="22"/>
          <w:szCs w:val="22"/>
          <w:lang w:val="en-US"/>
        </w:rPr>
      </w:pPr>
    </w:p>
    <w:p w14:paraId="57ABEB4F" w14:textId="77777777" w:rsidR="000E784F" w:rsidRPr="00F723A5" w:rsidRDefault="000E784F" w:rsidP="000E784F">
      <w:pPr>
        <w:spacing w:after="0"/>
        <w:jc w:val="center"/>
        <w:rPr>
          <w:rFonts w:cs="Arial"/>
        </w:rPr>
      </w:pPr>
      <w:r w:rsidRPr="00F723A5">
        <w:rPr>
          <w:rFonts w:cs="Arial"/>
        </w:rPr>
        <w:t>from</w:t>
      </w:r>
    </w:p>
    <w:p w14:paraId="796F2603" w14:textId="77777777" w:rsidR="000E784F" w:rsidRPr="00F723A5" w:rsidRDefault="000E784F" w:rsidP="000E784F">
      <w:pPr>
        <w:spacing w:after="0"/>
        <w:jc w:val="center"/>
        <w:rPr>
          <w:rFonts w:cs="Arial"/>
          <w:b/>
        </w:rPr>
      </w:pPr>
      <w:r w:rsidRPr="00F723A5">
        <w:rPr>
          <w:rFonts w:cs="Arial"/>
          <w:b/>
        </w:rPr>
        <w:t>Jana Mailänder (408041)</w:t>
      </w:r>
    </w:p>
    <w:p w14:paraId="38124C02" w14:textId="77777777" w:rsidR="000E784F" w:rsidRPr="00F723A5" w:rsidRDefault="000E784F" w:rsidP="000E784F">
      <w:pPr>
        <w:spacing w:after="0"/>
        <w:jc w:val="center"/>
        <w:rPr>
          <w:rFonts w:cs="Arial"/>
          <w:b/>
        </w:rPr>
      </w:pPr>
      <w:r w:rsidRPr="00F723A5">
        <w:rPr>
          <w:rFonts w:cs="Arial"/>
          <w:b/>
        </w:rPr>
        <w:t>Emre Aslan (415618)</w:t>
      </w:r>
    </w:p>
    <w:p w14:paraId="30FAB993" w14:textId="77777777" w:rsidR="000E784F" w:rsidRPr="00F723A5" w:rsidRDefault="000E784F" w:rsidP="000E784F">
      <w:pPr>
        <w:spacing w:after="0"/>
        <w:jc w:val="center"/>
        <w:rPr>
          <w:rFonts w:cs="Arial"/>
          <w:b/>
        </w:rPr>
      </w:pPr>
      <w:r w:rsidRPr="00F723A5">
        <w:rPr>
          <w:rFonts w:cs="Arial"/>
          <w:b/>
          <w:bCs/>
        </w:rPr>
        <w:t>Erik Breuer (321705)</w:t>
      </w:r>
    </w:p>
    <w:p w14:paraId="1DAE15DF" w14:textId="77777777" w:rsidR="000E784F" w:rsidRPr="00F723A5" w:rsidRDefault="000E784F" w:rsidP="000E784F">
      <w:pPr>
        <w:spacing w:after="0"/>
        <w:jc w:val="center"/>
        <w:rPr>
          <w:rFonts w:cs="Arial"/>
        </w:rPr>
      </w:pPr>
    </w:p>
    <w:p w14:paraId="3A89BAD8" w14:textId="77777777" w:rsidR="000E784F" w:rsidRPr="00F723A5" w:rsidRDefault="000E784F" w:rsidP="000E784F">
      <w:pPr>
        <w:spacing w:after="0"/>
        <w:jc w:val="center"/>
        <w:rPr>
          <w:rFonts w:cs="Arial"/>
        </w:rPr>
      </w:pPr>
      <w:r w:rsidRPr="00F723A5">
        <w:rPr>
          <w:rFonts w:cs="Arial"/>
        </w:rPr>
        <w:t>for the module</w:t>
      </w:r>
    </w:p>
    <w:p w14:paraId="50D1B819" w14:textId="77777777" w:rsidR="000E784F" w:rsidRPr="00F723A5" w:rsidRDefault="000E784F" w:rsidP="000E784F">
      <w:pPr>
        <w:spacing w:after="0"/>
        <w:jc w:val="center"/>
        <w:rPr>
          <w:rFonts w:cs="Arial"/>
          <w:b/>
        </w:rPr>
      </w:pPr>
      <w:r w:rsidRPr="00F723A5">
        <w:rPr>
          <w:rFonts w:cs="Arial"/>
          <w:b/>
          <w:bCs/>
        </w:rPr>
        <w:t>Data Analytics for Digital Markets</w:t>
      </w:r>
    </w:p>
    <w:p w14:paraId="189089CD"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7C033477"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2200C5DF" w14:textId="77777777" w:rsidR="000E784F" w:rsidRPr="00F723A5" w:rsidRDefault="000E784F" w:rsidP="000E784F">
      <w:pPr>
        <w:spacing w:after="0"/>
        <w:jc w:val="center"/>
        <w:rPr>
          <w:rFonts w:cs="Arial"/>
        </w:rPr>
      </w:pPr>
      <w:r w:rsidRPr="00F723A5">
        <w:rPr>
          <w:rFonts w:cs="Arial"/>
        </w:rPr>
        <w:t xml:space="preserve">examined by </w:t>
      </w:r>
    </w:p>
    <w:p w14:paraId="12B3D39B" w14:textId="77777777" w:rsidR="000E784F" w:rsidRPr="00F723A5" w:rsidRDefault="000E784F" w:rsidP="000E784F">
      <w:pPr>
        <w:spacing w:after="0"/>
        <w:jc w:val="center"/>
        <w:rPr>
          <w:rFonts w:cs="Arial"/>
          <w:b/>
        </w:rPr>
      </w:pPr>
      <w:r w:rsidRPr="00F723A5">
        <w:rPr>
          <w:rFonts w:cs="Arial"/>
          <w:b/>
          <w:bCs/>
        </w:rPr>
        <w:t>Prof. Dr. Dominik Gutt</w:t>
      </w:r>
    </w:p>
    <w:p w14:paraId="17C9A1C0" w14:textId="77777777" w:rsidR="000E784F" w:rsidRPr="00F723A5" w:rsidRDefault="000E784F" w:rsidP="000E784F">
      <w:pPr>
        <w:spacing w:after="0"/>
        <w:jc w:val="center"/>
        <w:rPr>
          <w:rFonts w:cs="Arial"/>
        </w:rPr>
      </w:pPr>
    </w:p>
    <w:p w14:paraId="2D4EFE52" w14:textId="77777777" w:rsidR="000E784F" w:rsidRPr="00F723A5" w:rsidRDefault="000E784F" w:rsidP="000E784F">
      <w:pPr>
        <w:spacing w:after="0"/>
        <w:jc w:val="center"/>
        <w:rPr>
          <w:rFonts w:cs="Arial"/>
        </w:rPr>
      </w:pPr>
    </w:p>
    <w:p w14:paraId="4A7F52C6"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11975E9C"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771530A1"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02F785E8" w14:textId="77777777" w:rsidR="000E784F" w:rsidRPr="000E784F" w:rsidRDefault="000E784F" w:rsidP="000E784F">
      <w:pPr>
        <w:spacing w:after="0"/>
        <w:jc w:val="center"/>
        <w:rPr>
          <w:rFonts w:cs="Arial"/>
          <w:b/>
        </w:rPr>
      </w:pPr>
      <w:r w:rsidRPr="000E784F">
        <w:rPr>
          <w:rFonts w:cs="Arial"/>
          <w:b/>
        </w:rPr>
        <w:t>Aachen</w:t>
      </w:r>
    </w:p>
    <w:p w14:paraId="6CD8BAAB" w14:textId="77777777" w:rsidR="000E784F" w:rsidRPr="000E784F" w:rsidRDefault="000E784F" w:rsidP="000E784F">
      <w:pPr>
        <w:spacing w:after="0"/>
        <w:jc w:val="center"/>
        <w:rPr>
          <w:rFonts w:cs="Arial"/>
          <w:b/>
          <w:bCs/>
        </w:rPr>
      </w:pPr>
      <w:r w:rsidRPr="000E784F">
        <w:rPr>
          <w:rFonts w:cs="Arial"/>
          <w:b/>
          <w:bCs/>
        </w:rPr>
        <w:t>13.02.2026</w:t>
      </w:r>
    </w:p>
    <w:p w14:paraId="517E2477" w14:textId="77777777" w:rsidR="000E784F" w:rsidRPr="000E784F" w:rsidRDefault="000E784F" w:rsidP="000E784F">
      <w:pPr>
        <w:spacing w:after="0"/>
        <w:rPr>
          <w:rFonts w:cs="Arial"/>
          <w:b/>
        </w:rPr>
      </w:pPr>
    </w:p>
    <w:p w14:paraId="5AD2175C" w14:textId="5677B469" w:rsidR="00F21A35" w:rsidRDefault="00000000">
      <w:pPr>
        <w:pStyle w:val="Titel"/>
        <w:jc w:val="center"/>
      </w:pPr>
      <w:r>
        <w:lastRenderedPageBreak/>
        <w:t>The Impact of Major Game Patches on Player Engagement:</w:t>
      </w:r>
    </w:p>
    <w:p w14:paraId="48D705FA" w14:textId="77777777" w:rsidR="00F21A35" w:rsidRDefault="00000000">
      <w:pPr>
        <w:pStyle w:val="Titel"/>
        <w:jc w:val="center"/>
      </w:pPr>
      <w:r>
        <w:t>A Difference-in-Differences Analysis of Steam Games</w:t>
      </w:r>
    </w:p>
    <w:p w14:paraId="7C0D34B0" w14:textId="77777777" w:rsidR="00F21A35" w:rsidRDefault="00F21A35"/>
    <w:p w14:paraId="21AB4138" w14:textId="77777777" w:rsidR="00F21A35" w:rsidRDefault="00000000">
      <w:pPr>
        <w:pStyle w:val="berschrift1"/>
      </w:pPr>
      <w:bookmarkStart w:id="0" w:name="_Toc221461970"/>
      <w:r>
        <w:t>Abstract</w:t>
      </w:r>
      <w:bookmarkEnd w:id="0"/>
    </w:p>
    <w:p w14:paraId="41F1CFCB" w14:textId="77777777" w:rsidR="00F21A35" w:rsidRDefault="00000000">
      <w:r>
        <w:t>This study examines whether major game patches causally affect player engagement in Steam games. Using difference-in-differences methodology with two complementary designs—a staggered DiD analysis (320 games, 5 months) and a February 2025 single-cohort analysis (145 games, 4 weeks)—we find that major patches increase average concurrent players by approximately 6% (p=0.044). We document substantial selection bias in naive comparisons, with pooled OLS models overestimating effects by 35 percentage points. Our preferred two-way fixed effects specification controls for time-invariant game characteristics and aggregate time shocks, providing credible causal estimates. Results are robust across different treatment timings and model specifications. These findings suggest that while major patches do increase player engagement, the effect is modest and developers should maintain realistic expectations about patch impacts.</w:t>
      </w:r>
    </w:p>
    <w:p w14:paraId="74BD7F67" w14:textId="77777777" w:rsidR="00F21A35" w:rsidRDefault="00000000">
      <w:r>
        <w:br w:type="page"/>
      </w:r>
    </w:p>
    <w:sdt>
      <w:sdtPr>
        <w:rPr>
          <w:rFonts w:asciiTheme="minorHAnsi" w:eastAsiaTheme="minorEastAsia" w:hAnsiTheme="minorHAnsi" w:cstheme="minorBidi"/>
          <w:b w:val="0"/>
          <w:bCs w:val="0"/>
          <w:color w:val="auto"/>
          <w:sz w:val="22"/>
          <w:szCs w:val="22"/>
        </w:rPr>
        <w:id w:val="2140151045"/>
        <w:docPartObj>
          <w:docPartGallery w:val="Table of Contents"/>
          <w:docPartUnique/>
        </w:docPartObj>
      </w:sdtPr>
      <w:sdtEndPr>
        <w:rPr>
          <w:noProof/>
        </w:rPr>
      </w:sdtEndPr>
      <w:sdtContent>
        <w:p w14:paraId="778D9D0C" w14:textId="6B93B177" w:rsidR="000E784F" w:rsidRDefault="000E784F">
          <w:pPr>
            <w:pStyle w:val="Inhaltsverzeichnisberschrift"/>
          </w:pPr>
          <w:r>
            <w:t>Table of Contents</w:t>
          </w:r>
        </w:p>
        <w:p w14:paraId="0CA9D2F3" w14:textId="0F6E5C6E" w:rsidR="000E784F" w:rsidRDefault="000E784F">
          <w:pPr>
            <w:pStyle w:val="Verzeichnis1"/>
            <w:tabs>
              <w:tab w:val="right" w:leader="dot" w:pos="9350"/>
            </w:tabs>
            <w:rPr>
              <w:noProof/>
            </w:rPr>
          </w:pPr>
          <w:r>
            <w:fldChar w:fldCharType="begin"/>
          </w:r>
          <w:r>
            <w:instrText xml:space="preserve"> TOC \o "1-3" \h \z \u </w:instrText>
          </w:r>
          <w:r>
            <w:fldChar w:fldCharType="separate"/>
          </w:r>
          <w:hyperlink w:anchor="_Toc221461970" w:history="1">
            <w:r w:rsidRPr="00626A5E">
              <w:rPr>
                <w:rStyle w:val="Hyperlink"/>
                <w:noProof/>
              </w:rPr>
              <w:t>Abstract</w:t>
            </w:r>
            <w:r>
              <w:rPr>
                <w:noProof/>
                <w:webHidden/>
              </w:rPr>
              <w:tab/>
            </w:r>
            <w:r>
              <w:rPr>
                <w:noProof/>
                <w:webHidden/>
              </w:rPr>
              <w:fldChar w:fldCharType="begin"/>
            </w:r>
            <w:r>
              <w:rPr>
                <w:noProof/>
                <w:webHidden/>
              </w:rPr>
              <w:instrText xml:space="preserve"> PAGEREF _Toc221461970 \h </w:instrText>
            </w:r>
            <w:r>
              <w:rPr>
                <w:noProof/>
                <w:webHidden/>
              </w:rPr>
            </w:r>
            <w:r>
              <w:rPr>
                <w:noProof/>
                <w:webHidden/>
              </w:rPr>
              <w:fldChar w:fldCharType="separate"/>
            </w:r>
            <w:r>
              <w:rPr>
                <w:noProof/>
                <w:webHidden/>
              </w:rPr>
              <w:t>1</w:t>
            </w:r>
            <w:r>
              <w:rPr>
                <w:noProof/>
                <w:webHidden/>
              </w:rPr>
              <w:fldChar w:fldCharType="end"/>
            </w:r>
          </w:hyperlink>
        </w:p>
        <w:p w14:paraId="6A0E7444" w14:textId="06C2382A" w:rsidR="000E784F" w:rsidRDefault="000E784F">
          <w:pPr>
            <w:pStyle w:val="Verzeichnis1"/>
            <w:tabs>
              <w:tab w:val="right" w:leader="dot" w:pos="9350"/>
            </w:tabs>
            <w:rPr>
              <w:noProof/>
            </w:rPr>
          </w:pPr>
          <w:hyperlink w:anchor="_Toc221461971" w:history="1">
            <w:r w:rsidRPr="00626A5E">
              <w:rPr>
                <w:rStyle w:val="Hyperlink"/>
                <w:noProof/>
              </w:rPr>
              <w:t>1. Data Sources and Sample Construction</w:t>
            </w:r>
            <w:r>
              <w:rPr>
                <w:noProof/>
                <w:webHidden/>
              </w:rPr>
              <w:tab/>
            </w:r>
            <w:r>
              <w:rPr>
                <w:noProof/>
                <w:webHidden/>
              </w:rPr>
              <w:fldChar w:fldCharType="begin"/>
            </w:r>
            <w:r>
              <w:rPr>
                <w:noProof/>
                <w:webHidden/>
              </w:rPr>
              <w:instrText xml:space="preserve"> PAGEREF _Toc221461971 \h </w:instrText>
            </w:r>
            <w:r>
              <w:rPr>
                <w:noProof/>
                <w:webHidden/>
              </w:rPr>
            </w:r>
            <w:r>
              <w:rPr>
                <w:noProof/>
                <w:webHidden/>
              </w:rPr>
              <w:fldChar w:fldCharType="separate"/>
            </w:r>
            <w:r>
              <w:rPr>
                <w:noProof/>
                <w:webHidden/>
              </w:rPr>
              <w:t>2</w:t>
            </w:r>
            <w:r>
              <w:rPr>
                <w:noProof/>
                <w:webHidden/>
              </w:rPr>
              <w:fldChar w:fldCharType="end"/>
            </w:r>
          </w:hyperlink>
        </w:p>
        <w:p w14:paraId="478F3330" w14:textId="3AE16FC2" w:rsidR="000E784F" w:rsidRDefault="000E784F">
          <w:pPr>
            <w:pStyle w:val="Verzeichnis2"/>
            <w:tabs>
              <w:tab w:val="right" w:leader="dot" w:pos="9350"/>
            </w:tabs>
            <w:rPr>
              <w:noProof/>
            </w:rPr>
          </w:pPr>
          <w:hyperlink w:anchor="_Toc221461972" w:history="1">
            <w:r w:rsidRPr="00626A5E">
              <w:rPr>
                <w:rStyle w:val="Hyperlink"/>
                <w:noProof/>
              </w:rPr>
              <w:t>1.1 Data Collection</w:t>
            </w:r>
            <w:r>
              <w:rPr>
                <w:noProof/>
                <w:webHidden/>
              </w:rPr>
              <w:tab/>
            </w:r>
            <w:r>
              <w:rPr>
                <w:noProof/>
                <w:webHidden/>
              </w:rPr>
              <w:fldChar w:fldCharType="begin"/>
            </w:r>
            <w:r>
              <w:rPr>
                <w:noProof/>
                <w:webHidden/>
              </w:rPr>
              <w:instrText xml:space="preserve"> PAGEREF _Toc221461972 \h </w:instrText>
            </w:r>
            <w:r>
              <w:rPr>
                <w:noProof/>
                <w:webHidden/>
              </w:rPr>
            </w:r>
            <w:r>
              <w:rPr>
                <w:noProof/>
                <w:webHidden/>
              </w:rPr>
              <w:fldChar w:fldCharType="separate"/>
            </w:r>
            <w:r>
              <w:rPr>
                <w:noProof/>
                <w:webHidden/>
              </w:rPr>
              <w:t>2</w:t>
            </w:r>
            <w:r>
              <w:rPr>
                <w:noProof/>
                <w:webHidden/>
              </w:rPr>
              <w:fldChar w:fldCharType="end"/>
            </w:r>
          </w:hyperlink>
        </w:p>
        <w:p w14:paraId="5BAB9426" w14:textId="29FEDE40" w:rsidR="000E784F" w:rsidRDefault="000E784F">
          <w:pPr>
            <w:pStyle w:val="Verzeichnis3"/>
            <w:tabs>
              <w:tab w:val="right" w:leader="dot" w:pos="9350"/>
            </w:tabs>
            <w:rPr>
              <w:noProof/>
            </w:rPr>
          </w:pPr>
          <w:hyperlink w:anchor="_Toc221461973" w:history="1">
            <w:r w:rsidRPr="00626A5E">
              <w:rPr>
                <w:rStyle w:val="Hyperlink"/>
                <w:noProof/>
              </w:rPr>
              <w:t>1.1.1 Primary Data Sources</w:t>
            </w:r>
            <w:r>
              <w:rPr>
                <w:noProof/>
                <w:webHidden/>
              </w:rPr>
              <w:tab/>
            </w:r>
            <w:r>
              <w:rPr>
                <w:noProof/>
                <w:webHidden/>
              </w:rPr>
              <w:fldChar w:fldCharType="begin"/>
            </w:r>
            <w:r>
              <w:rPr>
                <w:noProof/>
                <w:webHidden/>
              </w:rPr>
              <w:instrText xml:space="preserve"> PAGEREF _Toc221461973 \h </w:instrText>
            </w:r>
            <w:r>
              <w:rPr>
                <w:noProof/>
                <w:webHidden/>
              </w:rPr>
            </w:r>
            <w:r>
              <w:rPr>
                <w:noProof/>
                <w:webHidden/>
              </w:rPr>
              <w:fldChar w:fldCharType="separate"/>
            </w:r>
            <w:r>
              <w:rPr>
                <w:noProof/>
                <w:webHidden/>
              </w:rPr>
              <w:t>2</w:t>
            </w:r>
            <w:r>
              <w:rPr>
                <w:noProof/>
                <w:webHidden/>
              </w:rPr>
              <w:fldChar w:fldCharType="end"/>
            </w:r>
          </w:hyperlink>
        </w:p>
        <w:p w14:paraId="605F5C3B" w14:textId="0A28343E" w:rsidR="000E784F" w:rsidRDefault="000E784F">
          <w:pPr>
            <w:pStyle w:val="Verzeichnis2"/>
            <w:tabs>
              <w:tab w:val="right" w:leader="dot" w:pos="9350"/>
            </w:tabs>
            <w:rPr>
              <w:noProof/>
            </w:rPr>
          </w:pPr>
          <w:hyperlink w:anchor="_Toc221461974" w:history="1">
            <w:r w:rsidRPr="00626A5E">
              <w:rPr>
                <w:rStyle w:val="Hyperlink"/>
                <w:noProof/>
              </w:rPr>
              <w:t>1.2 Sample Construction</w:t>
            </w:r>
            <w:r>
              <w:rPr>
                <w:noProof/>
                <w:webHidden/>
              </w:rPr>
              <w:tab/>
            </w:r>
            <w:r>
              <w:rPr>
                <w:noProof/>
                <w:webHidden/>
              </w:rPr>
              <w:fldChar w:fldCharType="begin"/>
            </w:r>
            <w:r>
              <w:rPr>
                <w:noProof/>
                <w:webHidden/>
              </w:rPr>
              <w:instrText xml:space="preserve"> PAGEREF _Toc221461974 \h </w:instrText>
            </w:r>
            <w:r>
              <w:rPr>
                <w:noProof/>
                <w:webHidden/>
              </w:rPr>
            </w:r>
            <w:r>
              <w:rPr>
                <w:noProof/>
                <w:webHidden/>
              </w:rPr>
              <w:fldChar w:fldCharType="separate"/>
            </w:r>
            <w:r>
              <w:rPr>
                <w:noProof/>
                <w:webHidden/>
              </w:rPr>
              <w:t>2</w:t>
            </w:r>
            <w:r>
              <w:rPr>
                <w:noProof/>
                <w:webHidden/>
              </w:rPr>
              <w:fldChar w:fldCharType="end"/>
            </w:r>
          </w:hyperlink>
        </w:p>
        <w:p w14:paraId="456228E3" w14:textId="276E45CC" w:rsidR="000E784F" w:rsidRDefault="000E784F">
          <w:pPr>
            <w:pStyle w:val="Verzeichnis3"/>
            <w:tabs>
              <w:tab w:val="right" w:leader="dot" w:pos="9350"/>
            </w:tabs>
            <w:rPr>
              <w:noProof/>
            </w:rPr>
          </w:pPr>
          <w:hyperlink w:anchor="_Toc221461975" w:history="1">
            <w:r w:rsidRPr="00626A5E">
              <w:rPr>
                <w:rStyle w:val="Hyperlink"/>
                <w:noProof/>
              </w:rPr>
              <w:t>1.2.1 Staggered DiD Design (Primary Analysis)</w:t>
            </w:r>
            <w:r>
              <w:rPr>
                <w:noProof/>
                <w:webHidden/>
              </w:rPr>
              <w:tab/>
            </w:r>
            <w:r>
              <w:rPr>
                <w:noProof/>
                <w:webHidden/>
              </w:rPr>
              <w:fldChar w:fldCharType="begin"/>
            </w:r>
            <w:r>
              <w:rPr>
                <w:noProof/>
                <w:webHidden/>
              </w:rPr>
              <w:instrText xml:space="preserve"> PAGEREF _Toc221461975 \h </w:instrText>
            </w:r>
            <w:r>
              <w:rPr>
                <w:noProof/>
                <w:webHidden/>
              </w:rPr>
            </w:r>
            <w:r>
              <w:rPr>
                <w:noProof/>
                <w:webHidden/>
              </w:rPr>
              <w:fldChar w:fldCharType="separate"/>
            </w:r>
            <w:r>
              <w:rPr>
                <w:noProof/>
                <w:webHidden/>
              </w:rPr>
              <w:t>2</w:t>
            </w:r>
            <w:r>
              <w:rPr>
                <w:noProof/>
                <w:webHidden/>
              </w:rPr>
              <w:fldChar w:fldCharType="end"/>
            </w:r>
          </w:hyperlink>
        </w:p>
        <w:p w14:paraId="61C7640E" w14:textId="43925CA4" w:rsidR="000E784F" w:rsidRDefault="000E784F">
          <w:pPr>
            <w:pStyle w:val="Verzeichnis3"/>
            <w:tabs>
              <w:tab w:val="right" w:leader="dot" w:pos="9350"/>
            </w:tabs>
            <w:rPr>
              <w:noProof/>
            </w:rPr>
          </w:pPr>
          <w:hyperlink w:anchor="_Toc221461976" w:history="1">
            <w:r w:rsidRPr="00626A5E">
              <w:rPr>
                <w:rStyle w:val="Hyperlink"/>
                <w:noProof/>
              </w:rPr>
              <w:t>1.2.2 February 2025 Single-Cohort Design (Robustness)</w:t>
            </w:r>
            <w:r>
              <w:rPr>
                <w:noProof/>
                <w:webHidden/>
              </w:rPr>
              <w:tab/>
            </w:r>
            <w:r>
              <w:rPr>
                <w:noProof/>
                <w:webHidden/>
              </w:rPr>
              <w:fldChar w:fldCharType="begin"/>
            </w:r>
            <w:r>
              <w:rPr>
                <w:noProof/>
                <w:webHidden/>
              </w:rPr>
              <w:instrText xml:space="preserve"> PAGEREF _Toc221461976 \h </w:instrText>
            </w:r>
            <w:r>
              <w:rPr>
                <w:noProof/>
                <w:webHidden/>
              </w:rPr>
            </w:r>
            <w:r>
              <w:rPr>
                <w:noProof/>
                <w:webHidden/>
              </w:rPr>
              <w:fldChar w:fldCharType="separate"/>
            </w:r>
            <w:r>
              <w:rPr>
                <w:noProof/>
                <w:webHidden/>
              </w:rPr>
              <w:t>3</w:t>
            </w:r>
            <w:r>
              <w:rPr>
                <w:noProof/>
                <w:webHidden/>
              </w:rPr>
              <w:fldChar w:fldCharType="end"/>
            </w:r>
          </w:hyperlink>
        </w:p>
        <w:p w14:paraId="395653E3" w14:textId="46BC63E7" w:rsidR="000E784F" w:rsidRDefault="000E784F">
          <w:pPr>
            <w:pStyle w:val="Verzeichnis2"/>
            <w:tabs>
              <w:tab w:val="right" w:leader="dot" w:pos="9350"/>
            </w:tabs>
            <w:rPr>
              <w:noProof/>
            </w:rPr>
          </w:pPr>
          <w:hyperlink w:anchor="_Toc221461977" w:history="1">
            <w:r w:rsidRPr="00626A5E">
              <w:rPr>
                <w:rStyle w:val="Hyperlink"/>
                <w:noProof/>
              </w:rPr>
              <w:t>1.3 Variable Construction</w:t>
            </w:r>
            <w:r>
              <w:rPr>
                <w:noProof/>
                <w:webHidden/>
              </w:rPr>
              <w:tab/>
            </w:r>
            <w:r>
              <w:rPr>
                <w:noProof/>
                <w:webHidden/>
              </w:rPr>
              <w:fldChar w:fldCharType="begin"/>
            </w:r>
            <w:r>
              <w:rPr>
                <w:noProof/>
                <w:webHidden/>
              </w:rPr>
              <w:instrText xml:space="preserve"> PAGEREF _Toc221461977 \h </w:instrText>
            </w:r>
            <w:r>
              <w:rPr>
                <w:noProof/>
                <w:webHidden/>
              </w:rPr>
            </w:r>
            <w:r>
              <w:rPr>
                <w:noProof/>
                <w:webHidden/>
              </w:rPr>
              <w:fldChar w:fldCharType="separate"/>
            </w:r>
            <w:r>
              <w:rPr>
                <w:noProof/>
                <w:webHidden/>
              </w:rPr>
              <w:t>3</w:t>
            </w:r>
            <w:r>
              <w:rPr>
                <w:noProof/>
                <w:webHidden/>
              </w:rPr>
              <w:fldChar w:fldCharType="end"/>
            </w:r>
          </w:hyperlink>
        </w:p>
        <w:p w14:paraId="3FDD0D65" w14:textId="04EA44F1" w:rsidR="000E784F" w:rsidRDefault="000E784F">
          <w:pPr>
            <w:pStyle w:val="Verzeichnis3"/>
            <w:tabs>
              <w:tab w:val="right" w:leader="dot" w:pos="9350"/>
            </w:tabs>
            <w:rPr>
              <w:noProof/>
            </w:rPr>
          </w:pPr>
          <w:hyperlink w:anchor="_Toc221461978" w:history="1">
            <w:r w:rsidRPr="00626A5E">
              <w:rPr>
                <w:rStyle w:val="Hyperlink"/>
                <w:noProof/>
              </w:rPr>
              <w:t>1.3.1 Dependent Variable</w:t>
            </w:r>
            <w:r>
              <w:rPr>
                <w:noProof/>
                <w:webHidden/>
              </w:rPr>
              <w:tab/>
            </w:r>
            <w:r>
              <w:rPr>
                <w:noProof/>
                <w:webHidden/>
              </w:rPr>
              <w:fldChar w:fldCharType="begin"/>
            </w:r>
            <w:r>
              <w:rPr>
                <w:noProof/>
                <w:webHidden/>
              </w:rPr>
              <w:instrText xml:space="preserve"> PAGEREF _Toc221461978 \h </w:instrText>
            </w:r>
            <w:r>
              <w:rPr>
                <w:noProof/>
                <w:webHidden/>
              </w:rPr>
            </w:r>
            <w:r>
              <w:rPr>
                <w:noProof/>
                <w:webHidden/>
              </w:rPr>
              <w:fldChar w:fldCharType="separate"/>
            </w:r>
            <w:r>
              <w:rPr>
                <w:noProof/>
                <w:webHidden/>
              </w:rPr>
              <w:t>3</w:t>
            </w:r>
            <w:r>
              <w:rPr>
                <w:noProof/>
                <w:webHidden/>
              </w:rPr>
              <w:fldChar w:fldCharType="end"/>
            </w:r>
          </w:hyperlink>
        </w:p>
        <w:p w14:paraId="1E57C50B" w14:textId="491556A5" w:rsidR="000E784F" w:rsidRDefault="000E784F">
          <w:pPr>
            <w:pStyle w:val="Verzeichnis3"/>
            <w:tabs>
              <w:tab w:val="right" w:leader="dot" w:pos="9350"/>
            </w:tabs>
            <w:rPr>
              <w:noProof/>
            </w:rPr>
          </w:pPr>
          <w:hyperlink w:anchor="_Toc221461979" w:history="1">
            <w:r w:rsidRPr="00626A5E">
              <w:rPr>
                <w:rStyle w:val="Hyperlink"/>
                <w:noProof/>
              </w:rPr>
              <w:t>1.3.2 Treatment Variables</w:t>
            </w:r>
            <w:r>
              <w:rPr>
                <w:noProof/>
                <w:webHidden/>
              </w:rPr>
              <w:tab/>
            </w:r>
            <w:r>
              <w:rPr>
                <w:noProof/>
                <w:webHidden/>
              </w:rPr>
              <w:fldChar w:fldCharType="begin"/>
            </w:r>
            <w:r>
              <w:rPr>
                <w:noProof/>
                <w:webHidden/>
              </w:rPr>
              <w:instrText xml:space="preserve"> PAGEREF _Toc221461979 \h </w:instrText>
            </w:r>
            <w:r>
              <w:rPr>
                <w:noProof/>
                <w:webHidden/>
              </w:rPr>
            </w:r>
            <w:r>
              <w:rPr>
                <w:noProof/>
                <w:webHidden/>
              </w:rPr>
              <w:fldChar w:fldCharType="separate"/>
            </w:r>
            <w:r>
              <w:rPr>
                <w:noProof/>
                <w:webHidden/>
              </w:rPr>
              <w:t>3</w:t>
            </w:r>
            <w:r>
              <w:rPr>
                <w:noProof/>
                <w:webHidden/>
              </w:rPr>
              <w:fldChar w:fldCharType="end"/>
            </w:r>
          </w:hyperlink>
        </w:p>
        <w:p w14:paraId="282EF94F" w14:textId="5574D343" w:rsidR="000E784F" w:rsidRDefault="000E784F">
          <w:pPr>
            <w:pStyle w:val="Verzeichnis3"/>
            <w:tabs>
              <w:tab w:val="right" w:leader="dot" w:pos="9350"/>
            </w:tabs>
            <w:rPr>
              <w:noProof/>
            </w:rPr>
          </w:pPr>
          <w:hyperlink w:anchor="_Toc221461980" w:history="1">
            <w:r w:rsidRPr="00626A5E">
              <w:rPr>
                <w:rStyle w:val="Hyperlink"/>
                <w:noProof/>
              </w:rPr>
              <w:t>1.3.3 Control Variables</w:t>
            </w:r>
            <w:r>
              <w:rPr>
                <w:noProof/>
                <w:webHidden/>
              </w:rPr>
              <w:tab/>
            </w:r>
            <w:r>
              <w:rPr>
                <w:noProof/>
                <w:webHidden/>
              </w:rPr>
              <w:fldChar w:fldCharType="begin"/>
            </w:r>
            <w:r>
              <w:rPr>
                <w:noProof/>
                <w:webHidden/>
              </w:rPr>
              <w:instrText xml:space="preserve"> PAGEREF _Toc221461980 \h </w:instrText>
            </w:r>
            <w:r>
              <w:rPr>
                <w:noProof/>
                <w:webHidden/>
              </w:rPr>
            </w:r>
            <w:r>
              <w:rPr>
                <w:noProof/>
                <w:webHidden/>
              </w:rPr>
              <w:fldChar w:fldCharType="separate"/>
            </w:r>
            <w:r>
              <w:rPr>
                <w:noProof/>
                <w:webHidden/>
              </w:rPr>
              <w:t>4</w:t>
            </w:r>
            <w:r>
              <w:rPr>
                <w:noProof/>
                <w:webHidden/>
              </w:rPr>
              <w:fldChar w:fldCharType="end"/>
            </w:r>
          </w:hyperlink>
        </w:p>
        <w:p w14:paraId="2D1F1C06" w14:textId="1ED6E8B6" w:rsidR="000E784F" w:rsidRDefault="000E784F">
          <w:pPr>
            <w:pStyle w:val="Verzeichnis3"/>
            <w:tabs>
              <w:tab w:val="right" w:leader="dot" w:pos="9350"/>
            </w:tabs>
            <w:rPr>
              <w:noProof/>
            </w:rPr>
          </w:pPr>
          <w:hyperlink w:anchor="_Toc221461981" w:history="1">
            <w:r w:rsidRPr="00626A5E">
              <w:rPr>
                <w:rStyle w:val="Hyperlink"/>
                <w:noProof/>
              </w:rPr>
              <w:t>1.3.4 Fixed Effects</w:t>
            </w:r>
            <w:r>
              <w:rPr>
                <w:noProof/>
                <w:webHidden/>
              </w:rPr>
              <w:tab/>
            </w:r>
            <w:r>
              <w:rPr>
                <w:noProof/>
                <w:webHidden/>
              </w:rPr>
              <w:fldChar w:fldCharType="begin"/>
            </w:r>
            <w:r>
              <w:rPr>
                <w:noProof/>
                <w:webHidden/>
              </w:rPr>
              <w:instrText xml:space="preserve"> PAGEREF _Toc221461981 \h </w:instrText>
            </w:r>
            <w:r>
              <w:rPr>
                <w:noProof/>
                <w:webHidden/>
              </w:rPr>
            </w:r>
            <w:r>
              <w:rPr>
                <w:noProof/>
                <w:webHidden/>
              </w:rPr>
              <w:fldChar w:fldCharType="separate"/>
            </w:r>
            <w:r>
              <w:rPr>
                <w:noProof/>
                <w:webHidden/>
              </w:rPr>
              <w:t>4</w:t>
            </w:r>
            <w:r>
              <w:rPr>
                <w:noProof/>
                <w:webHidden/>
              </w:rPr>
              <w:fldChar w:fldCharType="end"/>
            </w:r>
          </w:hyperlink>
        </w:p>
        <w:p w14:paraId="1D82E13B" w14:textId="6249975E" w:rsidR="000E784F" w:rsidRDefault="000E784F">
          <w:pPr>
            <w:pStyle w:val="Verzeichnis2"/>
            <w:tabs>
              <w:tab w:val="right" w:leader="dot" w:pos="9350"/>
            </w:tabs>
            <w:rPr>
              <w:noProof/>
            </w:rPr>
          </w:pPr>
          <w:hyperlink w:anchor="_Toc221461982" w:history="1">
            <w:r w:rsidRPr="00626A5E">
              <w:rPr>
                <w:rStyle w:val="Hyperlink"/>
                <w:noProof/>
              </w:rPr>
              <w:t>1.4 Data Quality Verification</w:t>
            </w:r>
            <w:r>
              <w:rPr>
                <w:noProof/>
                <w:webHidden/>
              </w:rPr>
              <w:tab/>
            </w:r>
            <w:r>
              <w:rPr>
                <w:noProof/>
                <w:webHidden/>
              </w:rPr>
              <w:fldChar w:fldCharType="begin"/>
            </w:r>
            <w:r>
              <w:rPr>
                <w:noProof/>
                <w:webHidden/>
              </w:rPr>
              <w:instrText xml:space="preserve"> PAGEREF _Toc221461982 \h </w:instrText>
            </w:r>
            <w:r>
              <w:rPr>
                <w:noProof/>
                <w:webHidden/>
              </w:rPr>
            </w:r>
            <w:r>
              <w:rPr>
                <w:noProof/>
                <w:webHidden/>
              </w:rPr>
              <w:fldChar w:fldCharType="separate"/>
            </w:r>
            <w:r>
              <w:rPr>
                <w:noProof/>
                <w:webHidden/>
              </w:rPr>
              <w:t>4</w:t>
            </w:r>
            <w:r>
              <w:rPr>
                <w:noProof/>
                <w:webHidden/>
              </w:rPr>
              <w:fldChar w:fldCharType="end"/>
            </w:r>
          </w:hyperlink>
        </w:p>
        <w:p w14:paraId="4107601D" w14:textId="2061336D" w:rsidR="000E784F" w:rsidRDefault="000E784F">
          <w:pPr>
            <w:pStyle w:val="Verzeichnis1"/>
            <w:tabs>
              <w:tab w:val="right" w:leader="dot" w:pos="9350"/>
            </w:tabs>
            <w:rPr>
              <w:noProof/>
            </w:rPr>
          </w:pPr>
          <w:hyperlink w:anchor="_Toc221461983" w:history="1">
            <w:r w:rsidRPr="00626A5E">
              <w:rPr>
                <w:rStyle w:val="Hyperlink"/>
                <w:noProof/>
              </w:rPr>
              <w:t>2. Difference-in-Differences Methodology</w:t>
            </w:r>
            <w:r>
              <w:rPr>
                <w:noProof/>
                <w:webHidden/>
              </w:rPr>
              <w:tab/>
            </w:r>
            <w:r>
              <w:rPr>
                <w:noProof/>
                <w:webHidden/>
              </w:rPr>
              <w:fldChar w:fldCharType="begin"/>
            </w:r>
            <w:r>
              <w:rPr>
                <w:noProof/>
                <w:webHidden/>
              </w:rPr>
              <w:instrText xml:space="preserve"> PAGEREF _Toc221461983 \h </w:instrText>
            </w:r>
            <w:r>
              <w:rPr>
                <w:noProof/>
                <w:webHidden/>
              </w:rPr>
            </w:r>
            <w:r>
              <w:rPr>
                <w:noProof/>
                <w:webHidden/>
              </w:rPr>
              <w:fldChar w:fldCharType="separate"/>
            </w:r>
            <w:r>
              <w:rPr>
                <w:noProof/>
                <w:webHidden/>
              </w:rPr>
              <w:t>5</w:t>
            </w:r>
            <w:r>
              <w:rPr>
                <w:noProof/>
                <w:webHidden/>
              </w:rPr>
              <w:fldChar w:fldCharType="end"/>
            </w:r>
          </w:hyperlink>
        </w:p>
        <w:p w14:paraId="52FEFD8B" w14:textId="7FBBFCA4" w:rsidR="000E784F" w:rsidRDefault="000E784F">
          <w:pPr>
            <w:pStyle w:val="Verzeichnis2"/>
            <w:tabs>
              <w:tab w:val="right" w:leader="dot" w:pos="9350"/>
            </w:tabs>
            <w:rPr>
              <w:noProof/>
            </w:rPr>
          </w:pPr>
          <w:hyperlink w:anchor="_Toc221461984" w:history="1">
            <w:r w:rsidRPr="00626A5E">
              <w:rPr>
                <w:rStyle w:val="Hyperlink"/>
                <w:noProof/>
              </w:rPr>
              <w:t>2.1 Empirical Strategy</w:t>
            </w:r>
            <w:r>
              <w:rPr>
                <w:noProof/>
                <w:webHidden/>
              </w:rPr>
              <w:tab/>
            </w:r>
            <w:r>
              <w:rPr>
                <w:noProof/>
                <w:webHidden/>
              </w:rPr>
              <w:fldChar w:fldCharType="begin"/>
            </w:r>
            <w:r>
              <w:rPr>
                <w:noProof/>
                <w:webHidden/>
              </w:rPr>
              <w:instrText xml:space="preserve"> PAGEREF _Toc221461984 \h </w:instrText>
            </w:r>
            <w:r>
              <w:rPr>
                <w:noProof/>
                <w:webHidden/>
              </w:rPr>
            </w:r>
            <w:r>
              <w:rPr>
                <w:noProof/>
                <w:webHidden/>
              </w:rPr>
              <w:fldChar w:fldCharType="separate"/>
            </w:r>
            <w:r>
              <w:rPr>
                <w:noProof/>
                <w:webHidden/>
              </w:rPr>
              <w:t>5</w:t>
            </w:r>
            <w:r>
              <w:rPr>
                <w:noProof/>
                <w:webHidden/>
              </w:rPr>
              <w:fldChar w:fldCharType="end"/>
            </w:r>
          </w:hyperlink>
        </w:p>
        <w:p w14:paraId="1B51A281" w14:textId="2198E0CE" w:rsidR="000E784F" w:rsidRDefault="000E784F">
          <w:pPr>
            <w:pStyle w:val="Verzeichnis2"/>
            <w:tabs>
              <w:tab w:val="right" w:leader="dot" w:pos="9350"/>
            </w:tabs>
            <w:rPr>
              <w:noProof/>
            </w:rPr>
          </w:pPr>
          <w:hyperlink w:anchor="_Toc221461985" w:history="1">
            <w:r w:rsidRPr="00626A5E">
              <w:rPr>
                <w:rStyle w:val="Hyperlink"/>
                <w:noProof/>
              </w:rPr>
              <w:t>2.2 Econometric Specifications</w:t>
            </w:r>
            <w:r>
              <w:rPr>
                <w:noProof/>
                <w:webHidden/>
              </w:rPr>
              <w:tab/>
            </w:r>
            <w:r>
              <w:rPr>
                <w:noProof/>
                <w:webHidden/>
              </w:rPr>
              <w:fldChar w:fldCharType="begin"/>
            </w:r>
            <w:r>
              <w:rPr>
                <w:noProof/>
                <w:webHidden/>
              </w:rPr>
              <w:instrText xml:space="preserve"> PAGEREF _Toc221461985 \h </w:instrText>
            </w:r>
            <w:r>
              <w:rPr>
                <w:noProof/>
                <w:webHidden/>
              </w:rPr>
            </w:r>
            <w:r>
              <w:rPr>
                <w:noProof/>
                <w:webHidden/>
              </w:rPr>
              <w:fldChar w:fldCharType="separate"/>
            </w:r>
            <w:r>
              <w:rPr>
                <w:noProof/>
                <w:webHidden/>
              </w:rPr>
              <w:t>5</w:t>
            </w:r>
            <w:r>
              <w:rPr>
                <w:noProof/>
                <w:webHidden/>
              </w:rPr>
              <w:fldChar w:fldCharType="end"/>
            </w:r>
          </w:hyperlink>
        </w:p>
        <w:p w14:paraId="25D3DCA5" w14:textId="51A185FB" w:rsidR="000E784F" w:rsidRDefault="000E784F">
          <w:pPr>
            <w:pStyle w:val="Verzeichnis3"/>
            <w:tabs>
              <w:tab w:val="right" w:leader="dot" w:pos="9350"/>
            </w:tabs>
            <w:rPr>
              <w:noProof/>
            </w:rPr>
          </w:pPr>
          <w:hyperlink w:anchor="_Toc221461986" w:history="1">
            <w:r w:rsidRPr="00626A5E">
              <w:rPr>
                <w:rStyle w:val="Hyperlink"/>
                <w:noProof/>
              </w:rPr>
              <w:t>2.2.1 Model 1: Pooled OLS with Control Variables</w:t>
            </w:r>
            <w:r>
              <w:rPr>
                <w:noProof/>
                <w:webHidden/>
              </w:rPr>
              <w:tab/>
            </w:r>
            <w:r>
              <w:rPr>
                <w:noProof/>
                <w:webHidden/>
              </w:rPr>
              <w:fldChar w:fldCharType="begin"/>
            </w:r>
            <w:r>
              <w:rPr>
                <w:noProof/>
                <w:webHidden/>
              </w:rPr>
              <w:instrText xml:space="preserve"> PAGEREF _Toc221461986 \h </w:instrText>
            </w:r>
            <w:r>
              <w:rPr>
                <w:noProof/>
                <w:webHidden/>
              </w:rPr>
            </w:r>
            <w:r>
              <w:rPr>
                <w:noProof/>
                <w:webHidden/>
              </w:rPr>
              <w:fldChar w:fldCharType="separate"/>
            </w:r>
            <w:r>
              <w:rPr>
                <w:noProof/>
                <w:webHidden/>
              </w:rPr>
              <w:t>5</w:t>
            </w:r>
            <w:r>
              <w:rPr>
                <w:noProof/>
                <w:webHidden/>
              </w:rPr>
              <w:fldChar w:fldCharType="end"/>
            </w:r>
          </w:hyperlink>
        </w:p>
        <w:p w14:paraId="4BC47F1B" w14:textId="0E6DF008" w:rsidR="000E784F" w:rsidRDefault="000E784F">
          <w:pPr>
            <w:pStyle w:val="Verzeichnis3"/>
            <w:tabs>
              <w:tab w:val="right" w:leader="dot" w:pos="9350"/>
            </w:tabs>
            <w:rPr>
              <w:noProof/>
            </w:rPr>
          </w:pPr>
          <w:hyperlink w:anchor="_Toc221461987" w:history="1">
            <w:r w:rsidRPr="00626A5E">
              <w:rPr>
                <w:rStyle w:val="Hyperlink"/>
                <w:noProof/>
              </w:rPr>
              <w:t>2.2.2 Model 2: Two-Way Fixed Effects (Preferred)</w:t>
            </w:r>
            <w:r>
              <w:rPr>
                <w:noProof/>
                <w:webHidden/>
              </w:rPr>
              <w:tab/>
            </w:r>
            <w:r>
              <w:rPr>
                <w:noProof/>
                <w:webHidden/>
              </w:rPr>
              <w:fldChar w:fldCharType="begin"/>
            </w:r>
            <w:r>
              <w:rPr>
                <w:noProof/>
                <w:webHidden/>
              </w:rPr>
              <w:instrText xml:space="preserve"> PAGEREF _Toc221461987 \h </w:instrText>
            </w:r>
            <w:r>
              <w:rPr>
                <w:noProof/>
                <w:webHidden/>
              </w:rPr>
            </w:r>
            <w:r>
              <w:rPr>
                <w:noProof/>
                <w:webHidden/>
              </w:rPr>
              <w:fldChar w:fldCharType="separate"/>
            </w:r>
            <w:r>
              <w:rPr>
                <w:noProof/>
                <w:webHidden/>
              </w:rPr>
              <w:t>5</w:t>
            </w:r>
            <w:r>
              <w:rPr>
                <w:noProof/>
                <w:webHidden/>
              </w:rPr>
              <w:fldChar w:fldCharType="end"/>
            </w:r>
          </w:hyperlink>
        </w:p>
        <w:p w14:paraId="4C4D0E7E" w14:textId="0E7437C7" w:rsidR="000E784F" w:rsidRDefault="000E784F">
          <w:pPr>
            <w:pStyle w:val="Verzeichnis2"/>
            <w:tabs>
              <w:tab w:val="right" w:leader="dot" w:pos="9350"/>
            </w:tabs>
            <w:rPr>
              <w:noProof/>
            </w:rPr>
          </w:pPr>
          <w:hyperlink w:anchor="_Toc221461988" w:history="1">
            <w:r w:rsidRPr="00626A5E">
              <w:rPr>
                <w:rStyle w:val="Hyperlink"/>
                <w:noProof/>
              </w:rPr>
              <w:t>2.3 Identification Strategy</w:t>
            </w:r>
            <w:r>
              <w:rPr>
                <w:noProof/>
                <w:webHidden/>
              </w:rPr>
              <w:tab/>
            </w:r>
            <w:r>
              <w:rPr>
                <w:noProof/>
                <w:webHidden/>
              </w:rPr>
              <w:fldChar w:fldCharType="begin"/>
            </w:r>
            <w:r>
              <w:rPr>
                <w:noProof/>
                <w:webHidden/>
              </w:rPr>
              <w:instrText xml:space="preserve"> PAGEREF _Toc221461988 \h </w:instrText>
            </w:r>
            <w:r>
              <w:rPr>
                <w:noProof/>
                <w:webHidden/>
              </w:rPr>
            </w:r>
            <w:r>
              <w:rPr>
                <w:noProof/>
                <w:webHidden/>
              </w:rPr>
              <w:fldChar w:fldCharType="separate"/>
            </w:r>
            <w:r>
              <w:rPr>
                <w:noProof/>
                <w:webHidden/>
              </w:rPr>
              <w:t>5</w:t>
            </w:r>
            <w:r>
              <w:rPr>
                <w:noProof/>
                <w:webHidden/>
              </w:rPr>
              <w:fldChar w:fldCharType="end"/>
            </w:r>
          </w:hyperlink>
        </w:p>
        <w:p w14:paraId="4331CFE4" w14:textId="76D06746" w:rsidR="000E784F" w:rsidRDefault="000E784F">
          <w:pPr>
            <w:pStyle w:val="Verzeichnis3"/>
            <w:tabs>
              <w:tab w:val="right" w:leader="dot" w:pos="9350"/>
            </w:tabs>
            <w:rPr>
              <w:noProof/>
            </w:rPr>
          </w:pPr>
          <w:hyperlink w:anchor="_Toc221461989" w:history="1">
            <w:r w:rsidRPr="00626A5E">
              <w:rPr>
                <w:rStyle w:val="Hyperlink"/>
                <w:noProof/>
              </w:rPr>
              <w:t>2.3.1 Parallel Trends Assumption</w:t>
            </w:r>
            <w:r>
              <w:rPr>
                <w:noProof/>
                <w:webHidden/>
              </w:rPr>
              <w:tab/>
            </w:r>
            <w:r>
              <w:rPr>
                <w:noProof/>
                <w:webHidden/>
              </w:rPr>
              <w:fldChar w:fldCharType="begin"/>
            </w:r>
            <w:r>
              <w:rPr>
                <w:noProof/>
                <w:webHidden/>
              </w:rPr>
              <w:instrText xml:space="preserve"> PAGEREF _Toc221461989 \h </w:instrText>
            </w:r>
            <w:r>
              <w:rPr>
                <w:noProof/>
                <w:webHidden/>
              </w:rPr>
            </w:r>
            <w:r>
              <w:rPr>
                <w:noProof/>
                <w:webHidden/>
              </w:rPr>
              <w:fldChar w:fldCharType="separate"/>
            </w:r>
            <w:r>
              <w:rPr>
                <w:noProof/>
                <w:webHidden/>
              </w:rPr>
              <w:t>5</w:t>
            </w:r>
            <w:r>
              <w:rPr>
                <w:noProof/>
                <w:webHidden/>
              </w:rPr>
              <w:fldChar w:fldCharType="end"/>
            </w:r>
          </w:hyperlink>
        </w:p>
        <w:p w14:paraId="690128AE" w14:textId="69EDCE61" w:rsidR="000E784F" w:rsidRDefault="000E784F">
          <w:pPr>
            <w:pStyle w:val="Verzeichnis3"/>
            <w:tabs>
              <w:tab w:val="right" w:leader="dot" w:pos="9350"/>
            </w:tabs>
            <w:rPr>
              <w:noProof/>
            </w:rPr>
          </w:pPr>
          <w:hyperlink w:anchor="_Toc221461990" w:history="1">
            <w:r w:rsidRPr="00626A5E">
              <w:rPr>
                <w:rStyle w:val="Hyperlink"/>
                <w:noProof/>
              </w:rPr>
              <w:t>2.3.2 Selection Bias and Fixed Effects</w:t>
            </w:r>
            <w:r>
              <w:rPr>
                <w:noProof/>
                <w:webHidden/>
              </w:rPr>
              <w:tab/>
            </w:r>
            <w:r>
              <w:rPr>
                <w:noProof/>
                <w:webHidden/>
              </w:rPr>
              <w:fldChar w:fldCharType="begin"/>
            </w:r>
            <w:r>
              <w:rPr>
                <w:noProof/>
                <w:webHidden/>
              </w:rPr>
              <w:instrText xml:space="preserve"> PAGEREF _Toc221461990 \h </w:instrText>
            </w:r>
            <w:r>
              <w:rPr>
                <w:noProof/>
                <w:webHidden/>
              </w:rPr>
            </w:r>
            <w:r>
              <w:rPr>
                <w:noProof/>
                <w:webHidden/>
              </w:rPr>
              <w:fldChar w:fldCharType="separate"/>
            </w:r>
            <w:r>
              <w:rPr>
                <w:noProof/>
                <w:webHidden/>
              </w:rPr>
              <w:t>6</w:t>
            </w:r>
            <w:r>
              <w:rPr>
                <w:noProof/>
                <w:webHidden/>
              </w:rPr>
              <w:fldChar w:fldCharType="end"/>
            </w:r>
          </w:hyperlink>
        </w:p>
        <w:p w14:paraId="6C8286A8" w14:textId="74A3D8DF" w:rsidR="000E784F" w:rsidRDefault="000E784F">
          <w:pPr>
            <w:pStyle w:val="Verzeichnis3"/>
            <w:tabs>
              <w:tab w:val="right" w:leader="dot" w:pos="9350"/>
            </w:tabs>
            <w:rPr>
              <w:noProof/>
            </w:rPr>
          </w:pPr>
          <w:hyperlink w:anchor="_Toc221461991" w:history="1">
            <w:r w:rsidRPr="00626A5E">
              <w:rPr>
                <w:rStyle w:val="Hyperlink"/>
                <w:noProof/>
              </w:rPr>
              <w:t>2.3.3 Cluster-Robust Standard Errors</w:t>
            </w:r>
            <w:r>
              <w:rPr>
                <w:noProof/>
                <w:webHidden/>
              </w:rPr>
              <w:tab/>
            </w:r>
            <w:r>
              <w:rPr>
                <w:noProof/>
                <w:webHidden/>
              </w:rPr>
              <w:fldChar w:fldCharType="begin"/>
            </w:r>
            <w:r>
              <w:rPr>
                <w:noProof/>
                <w:webHidden/>
              </w:rPr>
              <w:instrText xml:space="preserve"> PAGEREF _Toc221461991 \h </w:instrText>
            </w:r>
            <w:r>
              <w:rPr>
                <w:noProof/>
                <w:webHidden/>
              </w:rPr>
            </w:r>
            <w:r>
              <w:rPr>
                <w:noProof/>
                <w:webHidden/>
              </w:rPr>
              <w:fldChar w:fldCharType="separate"/>
            </w:r>
            <w:r>
              <w:rPr>
                <w:noProof/>
                <w:webHidden/>
              </w:rPr>
              <w:t>6</w:t>
            </w:r>
            <w:r>
              <w:rPr>
                <w:noProof/>
                <w:webHidden/>
              </w:rPr>
              <w:fldChar w:fldCharType="end"/>
            </w:r>
          </w:hyperlink>
        </w:p>
        <w:p w14:paraId="6674C700" w14:textId="12BC9DA0" w:rsidR="000E784F" w:rsidRDefault="000E784F">
          <w:pPr>
            <w:pStyle w:val="Verzeichnis1"/>
            <w:tabs>
              <w:tab w:val="right" w:leader="dot" w:pos="9350"/>
            </w:tabs>
            <w:rPr>
              <w:noProof/>
            </w:rPr>
          </w:pPr>
          <w:hyperlink w:anchor="_Toc221461992" w:history="1">
            <w:r w:rsidRPr="00626A5E">
              <w:rPr>
                <w:rStyle w:val="Hyperlink"/>
                <w:noProof/>
              </w:rPr>
              <w:t>3. Empirical Results</w:t>
            </w:r>
            <w:r>
              <w:rPr>
                <w:noProof/>
                <w:webHidden/>
              </w:rPr>
              <w:tab/>
            </w:r>
            <w:r>
              <w:rPr>
                <w:noProof/>
                <w:webHidden/>
              </w:rPr>
              <w:fldChar w:fldCharType="begin"/>
            </w:r>
            <w:r>
              <w:rPr>
                <w:noProof/>
                <w:webHidden/>
              </w:rPr>
              <w:instrText xml:space="preserve"> PAGEREF _Toc221461992 \h </w:instrText>
            </w:r>
            <w:r>
              <w:rPr>
                <w:noProof/>
                <w:webHidden/>
              </w:rPr>
            </w:r>
            <w:r>
              <w:rPr>
                <w:noProof/>
                <w:webHidden/>
              </w:rPr>
              <w:fldChar w:fldCharType="separate"/>
            </w:r>
            <w:r>
              <w:rPr>
                <w:noProof/>
                <w:webHidden/>
              </w:rPr>
              <w:t>7</w:t>
            </w:r>
            <w:r>
              <w:rPr>
                <w:noProof/>
                <w:webHidden/>
              </w:rPr>
              <w:fldChar w:fldCharType="end"/>
            </w:r>
          </w:hyperlink>
        </w:p>
        <w:p w14:paraId="29034177" w14:textId="008FB5DB" w:rsidR="000E784F" w:rsidRDefault="000E784F">
          <w:pPr>
            <w:pStyle w:val="Verzeichnis2"/>
            <w:tabs>
              <w:tab w:val="right" w:leader="dot" w:pos="9350"/>
            </w:tabs>
            <w:rPr>
              <w:noProof/>
            </w:rPr>
          </w:pPr>
          <w:hyperlink w:anchor="_Toc221461993" w:history="1">
            <w:r w:rsidRPr="00626A5E">
              <w:rPr>
                <w:rStyle w:val="Hyperlink"/>
                <w:noProof/>
              </w:rPr>
              <w:t>3.1 Staggered DiD Analysis (Primary Results)</w:t>
            </w:r>
            <w:r>
              <w:rPr>
                <w:noProof/>
                <w:webHidden/>
              </w:rPr>
              <w:tab/>
            </w:r>
            <w:r>
              <w:rPr>
                <w:noProof/>
                <w:webHidden/>
              </w:rPr>
              <w:fldChar w:fldCharType="begin"/>
            </w:r>
            <w:r>
              <w:rPr>
                <w:noProof/>
                <w:webHidden/>
              </w:rPr>
              <w:instrText xml:space="preserve"> PAGEREF _Toc221461993 \h </w:instrText>
            </w:r>
            <w:r>
              <w:rPr>
                <w:noProof/>
                <w:webHidden/>
              </w:rPr>
            </w:r>
            <w:r>
              <w:rPr>
                <w:noProof/>
                <w:webHidden/>
              </w:rPr>
              <w:fldChar w:fldCharType="separate"/>
            </w:r>
            <w:r>
              <w:rPr>
                <w:noProof/>
                <w:webHidden/>
              </w:rPr>
              <w:t>7</w:t>
            </w:r>
            <w:r>
              <w:rPr>
                <w:noProof/>
                <w:webHidden/>
              </w:rPr>
              <w:fldChar w:fldCharType="end"/>
            </w:r>
          </w:hyperlink>
        </w:p>
        <w:p w14:paraId="7CF32C5F" w14:textId="5191F005" w:rsidR="000E784F" w:rsidRDefault="000E784F">
          <w:pPr>
            <w:pStyle w:val="Verzeichnis3"/>
            <w:tabs>
              <w:tab w:val="right" w:leader="dot" w:pos="9350"/>
            </w:tabs>
            <w:rPr>
              <w:noProof/>
            </w:rPr>
          </w:pPr>
          <w:hyperlink w:anchor="_Toc221461994" w:history="1">
            <w:r w:rsidRPr="00626A5E">
              <w:rPr>
                <w:rStyle w:val="Hyperlink"/>
                <w:noProof/>
              </w:rPr>
              <w:t>3.1.1 Main Treatment Effects</w:t>
            </w:r>
            <w:r>
              <w:rPr>
                <w:noProof/>
                <w:webHidden/>
              </w:rPr>
              <w:tab/>
            </w:r>
            <w:r>
              <w:rPr>
                <w:noProof/>
                <w:webHidden/>
              </w:rPr>
              <w:fldChar w:fldCharType="begin"/>
            </w:r>
            <w:r>
              <w:rPr>
                <w:noProof/>
                <w:webHidden/>
              </w:rPr>
              <w:instrText xml:space="preserve"> PAGEREF _Toc221461994 \h </w:instrText>
            </w:r>
            <w:r>
              <w:rPr>
                <w:noProof/>
                <w:webHidden/>
              </w:rPr>
            </w:r>
            <w:r>
              <w:rPr>
                <w:noProof/>
                <w:webHidden/>
              </w:rPr>
              <w:fldChar w:fldCharType="separate"/>
            </w:r>
            <w:r>
              <w:rPr>
                <w:noProof/>
                <w:webHidden/>
              </w:rPr>
              <w:t>7</w:t>
            </w:r>
            <w:r>
              <w:rPr>
                <w:noProof/>
                <w:webHidden/>
              </w:rPr>
              <w:fldChar w:fldCharType="end"/>
            </w:r>
          </w:hyperlink>
        </w:p>
        <w:p w14:paraId="17FA36EB" w14:textId="4CDB7BE1" w:rsidR="000E784F" w:rsidRDefault="000E784F">
          <w:pPr>
            <w:pStyle w:val="Verzeichnis3"/>
            <w:tabs>
              <w:tab w:val="right" w:leader="dot" w:pos="9350"/>
            </w:tabs>
            <w:rPr>
              <w:noProof/>
            </w:rPr>
          </w:pPr>
          <w:hyperlink w:anchor="_Toc221461995" w:history="1">
            <w:r w:rsidRPr="00626A5E">
              <w:rPr>
                <w:rStyle w:val="Hyperlink"/>
                <w:noProof/>
              </w:rPr>
              <w:t>3.1.2 Selection Bias Decomposition</w:t>
            </w:r>
            <w:r>
              <w:rPr>
                <w:noProof/>
                <w:webHidden/>
              </w:rPr>
              <w:tab/>
            </w:r>
            <w:r>
              <w:rPr>
                <w:noProof/>
                <w:webHidden/>
              </w:rPr>
              <w:fldChar w:fldCharType="begin"/>
            </w:r>
            <w:r>
              <w:rPr>
                <w:noProof/>
                <w:webHidden/>
              </w:rPr>
              <w:instrText xml:space="preserve"> PAGEREF _Toc221461995 \h </w:instrText>
            </w:r>
            <w:r>
              <w:rPr>
                <w:noProof/>
                <w:webHidden/>
              </w:rPr>
            </w:r>
            <w:r>
              <w:rPr>
                <w:noProof/>
                <w:webHidden/>
              </w:rPr>
              <w:fldChar w:fldCharType="separate"/>
            </w:r>
            <w:r>
              <w:rPr>
                <w:noProof/>
                <w:webHidden/>
              </w:rPr>
              <w:t>7</w:t>
            </w:r>
            <w:r>
              <w:rPr>
                <w:noProof/>
                <w:webHidden/>
              </w:rPr>
              <w:fldChar w:fldCharType="end"/>
            </w:r>
          </w:hyperlink>
        </w:p>
        <w:p w14:paraId="75199954" w14:textId="0A185210" w:rsidR="000E784F" w:rsidRDefault="000E784F">
          <w:pPr>
            <w:pStyle w:val="Verzeichnis3"/>
            <w:tabs>
              <w:tab w:val="right" w:leader="dot" w:pos="9350"/>
            </w:tabs>
            <w:rPr>
              <w:noProof/>
            </w:rPr>
          </w:pPr>
          <w:hyperlink w:anchor="_Toc221461996" w:history="1">
            <w:r w:rsidRPr="00626A5E">
              <w:rPr>
                <w:rStyle w:val="Hyperlink"/>
                <w:noProof/>
              </w:rPr>
              <w:t>3.1.3 Control Variable Effects</w:t>
            </w:r>
            <w:r>
              <w:rPr>
                <w:noProof/>
                <w:webHidden/>
              </w:rPr>
              <w:tab/>
            </w:r>
            <w:r>
              <w:rPr>
                <w:noProof/>
                <w:webHidden/>
              </w:rPr>
              <w:fldChar w:fldCharType="begin"/>
            </w:r>
            <w:r>
              <w:rPr>
                <w:noProof/>
                <w:webHidden/>
              </w:rPr>
              <w:instrText xml:space="preserve"> PAGEREF _Toc221461996 \h </w:instrText>
            </w:r>
            <w:r>
              <w:rPr>
                <w:noProof/>
                <w:webHidden/>
              </w:rPr>
            </w:r>
            <w:r>
              <w:rPr>
                <w:noProof/>
                <w:webHidden/>
              </w:rPr>
              <w:fldChar w:fldCharType="separate"/>
            </w:r>
            <w:r>
              <w:rPr>
                <w:noProof/>
                <w:webHidden/>
              </w:rPr>
              <w:t>7</w:t>
            </w:r>
            <w:r>
              <w:rPr>
                <w:noProof/>
                <w:webHidden/>
              </w:rPr>
              <w:fldChar w:fldCharType="end"/>
            </w:r>
          </w:hyperlink>
        </w:p>
        <w:p w14:paraId="721C220D" w14:textId="3F8D014B" w:rsidR="000E784F" w:rsidRDefault="000E784F">
          <w:pPr>
            <w:pStyle w:val="Verzeichnis3"/>
            <w:tabs>
              <w:tab w:val="right" w:leader="dot" w:pos="9350"/>
            </w:tabs>
            <w:rPr>
              <w:noProof/>
            </w:rPr>
          </w:pPr>
          <w:hyperlink w:anchor="_Toc221461997" w:history="1">
            <w:r w:rsidRPr="00626A5E">
              <w:rPr>
                <w:rStyle w:val="Hyperlink"/>
                <w:noProof/>
              </w:rPr>
              <w:t>3.1.4 Treatment Effect Heterogeneity</w:t>
            </w:r>
            <w:r>
              <w:rPr>
                <w:noProof/>
                <w:webHidden/>
              </w:rPr>
              <w:tab/>
            </w:r>
            <w:r>
              <w:rPr>
                <w:noProof/>
                <w:webHidden/>
              </w:rPr>
              <w:fldChar w:fldCharType="begin"/>
            </w:r>
            <w:r>
              <w:rPr>
                <w:noProof/>
                <w:webHidden/>
              </w:rPr>
              <w:instrText xml:space="preserve"> PAGEREF _Toc221461997 \h </w:instrText>
            </w:r>
            <w:r>
              <w:rPr>
                <w:noProof/>
                <w:webHidden/>
              </w:rPr>
            </w:r>
            <w:r>
              <w:rPr>
                <w:noProof/>
                <w:webHidden/>
              </w:rPr>
              <w:fldChar w:fldCharType="separate"/>
            </w:r>
            <w:r>
              <w:rPr>
                <w:noProof/>
                <w:webHidden/>
              </w:rPr>
              <w:t>8</w:t>
            </w:r>
            <w:r>
              <w:rPr>
                <w:noProof/>
                <w:webHidden/>
              </w:rPr>
              <w:fldChar w:fldCharType="end"/>
            </w:r>
          </w:hyperlink>
        </w:p>
        <w:p w14:paraId="3C533459" w14:textId="43D2CB7E" w:rsidR="000E784F" w:rsidRDefault="000E784F">
          <w:pPr>
            <w:pStyle w:val="Verzeichnis2"/>
            <w:tabs>
              <w:tab w:val="right" w:leader="dot" w:pos="9350"/>
            </w:tabs>
            <w:rPr>
              <w:noProof/>
            </w:rPr>
          </w:pPr>
          <w:hyperlink w:anchor="_Toc221461998" w:history="1">
            <w:r w:rsidRPr="00626A5E">
              <w:rPr>
                <w:rStyle w:val="Hyperlink"/>
                <w:noProof/>
              </w:rPr>
              <w:t>3.2 February 2025 Robustness Check</w:t>
            </w:r>
            <w:r>
              <w:rPr>
                <w:noProof/>
                <w:webHidden/>
              </w:rPr>
              <w:tab/>
            </w:r>
            <w:r>
              <w:rPr>
                <w:noProof/>
                <w:webHidden/>
              </w:rPr>
              <w:fldChar w:fldCharType="begin"/>
            </w:r>
            <w:r>
              <w:rPr>
                <w:noProof/>
                <w:webHidden/>
              </w:rPr>
              <w:instrText xml:space="preserve"> PAGEREF _Toc221461998 \h </w:instrText>
            </w:r>
            <w:r>
              <w:rPr>
                <w:noProof/>
                <w:webHidden/>
              </w:rPr>
            </w:r>
            <w:r>
              <w:rPr>
                <w:noProof/>
                <w:webHidden/>
              </w:rPr>
              <w:fldChar w:fldCharType="separate"/>
            </w:r>
            <w:r>
              <w:rPr>
                <w:noProof/>
                <w:webHidden/>
              </w:rPr>
              <w:t>8</w:t>
            </w:r>
            <w:r>
              <w:rPr>
                <w:noProof/>
                <w:webHidden/>
              </w:rPr>
              <w:fldChar w:fldCharType="end"/>
            </w:r>
          </w:hyperlink>
        </w:p>
        <w:p w14:paraId="5F0C1C43" w14:textId="01ADE0A0" w:rsidR="000E784F" w:rsidRDefault="000E784F">
          <w:pPr>
            <w:pStyle w:val="Verzeichnis2"/>
            <w:tabs>
              <w:tab w:val="right" w:leader="dot" w:pos="9350"/>
            </w:tabs>
            <w:rPr>
              <w:noProof/>
            </w:rPr>
          </w:pPr>
          <w:hyperlink w:anchor="_Toc221461999" w:history="1">
            <w:r w:rsidRPr="00626A5E">
              <w:rPr>
                <w:rStyle w:val="Hyperlink"/>
                <w:noProof/>
              </w:rPr>
              <w:t>3.3 Parallel Trends Validation</w:t>
            </w:r>
            <w:r>
              <w:rPr>
                <w:noProof/>
                <w:webHidden/>
              </w:rPr>
              <w:tab/>
            </w:r>
            <w:r>
              <w:rPr>
                <w:noProof/>
                <w:webHidden/>
              </w:rPr>
              <w:fldChar w:fldCharType="begin"/>
            </w:r>
            <w:r>
              <w:rPr>
                <w:noProof/>
                <w:webHidden/>
              </w:rPr>
              <w:instrText xml:space="preserve"> PAGEREF _Toc221461999 \h </w:instrText>
            </w:r>
            <w:r>
              <w:rPr>
                <w:noProof/>
                <w:webHidden/>
              </w:rPr>
            </w:r>
            <w:r>
              <w:rPr>
                <w:noProof/>
                <w:webHidden/>
              </w:rPr>
              <w:fldChar w:fldCharType="separate"/>
            </w:r>
            <w:r>
              <w:rPr>
                <w:noProof/>
                <w:webHidden/>
              </w:rPr>
              <w:t>9</w:t>
            </w:r>
            <w:r>
              <w:rPr>
                <w:noProof/>
                <w:webHidden/>
              </w:rPr>
              <w:fldChar w:fldCharType="end"/>
            </w:r>
          </w:hyperlink>
        </w:p>
        <w:p w14:paraId="6EA51FB0" w14:textId="36CAB87C" w:rsidR="000E784F" w:rsidRDefault="000E784F">
          <w:pPr>
            <w:pStyle w:val="Verzeichnis1"/>
            <w:tabs>
              <w:tab w:val="right" w:leader="dot" w:pos="9350"/>
            </w:tabs>
            <w:rPr>
              <w:noProof/>
            </w:rPr>
          </w:pPr>
          <w:hyperlink w:anchor="_Toc221462000" w:history="1">
            <w:r w:rsidRPr="00626A5E">
              <w:rPr>
                <w:rStyle w:val="Hyperlink"/>
                <w:noProof/>
              </w:rPr>
              <w:t>4. Conclusion</w:t>
            </w:r>
            <w:r>
              <w:rPr>
                <w:noProof/>
                <w:webHidden/>
              </w:rPr>
              <w:tab/>
            </w:r>
            <w:r>
              <w:rPr>
                <w:noProof/>
                <w:webHidden/>
              </w:rPr>
              <w:fldChar w:fldCharType="begin"/>
            </w:r>
            <w:r>
              <w:rPr>
                <w:noProof/>
                <w:webHidden/>
              </w:rPr>
              <w:instrText xml:space="preserve"> PAGEREF _Toc221462000 \h </w:instrText>
            </w:r>
            <w:r>
              <w:rPr>
                <w:noProof/>
                <w:webHidden/>
              </w:rPr>
            </w:r>
            <w:r>
              <w:rPr>
                <w:noProof/>
                <w:webHidden/>
              </w:rPr>
              <w:fldChar w:fldCharType="separate"/>
            </w:r>
            <w:r>
              <w:rPr>
                <w:noProof/>
                <w:webHidden/>
              </w:rPr>
              <w:t>12</w:t>
            </w:r>
            <w:r>
              <w:rPr>
                <w:noProof/>
                <w:webHidden/>
              </w:rPr>
              <w:fldChar w:fldCharType="end"/>
            </w:r>
          </w:hyperlink>
        </w:p>
        <w:p w14:paraId="4FBD8B9D" w14:textId="175A4358" w:rsidR="000E784F" w:rsidRDefault="000E784F">
          <w:pPr>
            <w:pStyle w:val="Verzeichnis2"/>
            <w:tabs>
              <w:tab w:val="right" w:leader="dot" w:pos="9350"/>
            </w:tabs>
            <w:rPr>
              <w:noProof/>
            </w:rPr>
          </w:pPr>
          <w:hyperlink w:anchor="_Toc221462001" w:history="1">
            <w:r w:rsidRPr="00626A5E">
              <w:rPr>
                <w:rStyle w:val="Hyperlink"/>
                <w:noProof/>
              </w:rPr>
              <w:t>4.1 Main Findings</w:t>
            </w:r>
            <w:r>
              <w:rPr>
                <w:noProof/>
                <w:webHidden/>
              </w:rPr>
              <w:tab/>
            </w:r>
            <w:r>
              <w:rPr>
                <w:noProof/>
                <w:webHidden/>
              </w:rPr>
              <w:fldChar w:fldCharType="begin"/>
            </w:r>
            <w:r>
              <w:rPr>
                <w:noProof/>
                <w:webHidden/>
              </w:rPr>
              <w:instrText xml:space="preserve"> PAGEREF _Toc221462001 \h </w:instrText>
            </w:r>
            <w:r>
              <w:rPr>
                <w:noProof/>
                <w:webHidden/>
              </w:rPr>
            </w:r>
            <w:r>
              <w:rPr>
                <w:noProof/>
                <w:webHidden/>
              </w:rPr>
              <w:fldChar w:fldCharType="separate"/>
            </w:r>
            <w:r>
              <w:rPr>
                <w:noProof/>
                <w:webHidden/>
              </w:rPr>
              <w:t>12</w:t>
            </w:r>
            <w:r>
              <w:rPr>
                <w:noProof/>
                <w:webHidden/>
              </w:rPr>
              <w:fldChar w:fldCharType="end"/>
            </w:r>
          </w:hyperlink>
        </w:p>
        <w:p w14:paraId="35A1D66F" w14:textId="41509BCD" w:rsidR="000E784F" w:rsidRDefault="000E784F">
          <w:pPr>
            <w:pStyle w:val="Verzeichnis2"/>
            <w:tabs>
              <w:tab w:val="right" w:leader="dot" w:pos="9350"/>
            </w:tabs>
            <w:rPr>
              <w:noProof/>
            </w:rPr>
          </w:pPr>
          <w:hyperlink w:anchor="_Toc221462002" w:history="1">
            <w:r w:rsidRPr="00626A5E">
              <w:rPr>
                <w:rStyle w:val="Hyperlink"/>
                <w:noProof/>
              </w:rPr>
              <w:t>4.2 Implications for Game Developers</w:t>
            </w:r>
            <w:r>
              <w:rPr>
                <w:noProof/>
                <w:webHidden/>
              </w:rPr>
              <w:tab/>
            </w:r>
            <w:r>
              <w:rPr>
                <w:noProof/>
                <w:webHidden/>
              </w:rPr>
              <w:fldChar w:fldCharType="begin"/>
            </w:r>
            <w:r>
              <w:rPr>
                <w:noProof/>
                <w:webHidden/>
              </w:rPr>
              <w:instrText xml:space="preserve"> PAGEREF _Toc221462002 \h </w:instrText>
            </w:r>
            <w:r>
              <w:rPr>
                <w:noProof/>
                <w:webHidden/>
              </w:rPr>
            </w:r>
            <w:r>
              <w:rPr>
                <w:noProof/>
                <w:webHidden/>
              </w:rPr>
              <w:fldChar w:fldCharType="separate"/>
            </w:r>
            <w:r>
              <w:rPr>
                <w:noProof/>
                <w:webHidden/>
              </w:rPr>
              <w:t>12</w:t>
            </w:r>
            <w:r>
              <w:rPr>
                <w:noProof/>
                <w:webHidden/>
              </w:rPr>
              <w:fldChar w:fldCharType="end"/>
            </w:r>
          </w:hyperlink>
        </w:p>
        <w:p w14:paraId="1CAC3658" w14:textId="62BBBB70" w:rsidR="000E784F" w:rsidRDefault="000E784F">
          <w:pPr>
            <w:pStyle w:val="Verzeichnis2"/>
            <w:tabs>
              <w:tab w:val="right" w:leader="dot" w:pos="9350"/>
            </w:tabs>
            <w:rPr>
              <w:noProof/>
            </w:rPr>
          </w:pPr>
          <w:hyperlink w:anchor="_Toc221462003" w:history="1">
            <w:r w:rsidRPr="00626A5E">
              <w:rPr>
                <w:rStyle w:val="Hyperlink"/>
                <w:noProof/>
              </w:rPr>
              <w:t>4.3 Methodological Contributions</w:t>
            </w:r>
            <w:r>
              <w:rPr>
                <w:noProof/>
                <w:webHidden/>
              </w:rPr>
              <w:tab/>
            </w:r>
            <w:r>
              <w:rPr>
                <w:noProof/>
                <w:webHidden/>
              </w:rPr>
              <w:fldChar w:fldCharType="begin"/>
            </w:r>
            <w:r>
              <w:rPr>
                <w:noProof/>
                <w:webHidden/>
              </w:rPr>
              <w:instrText xml:space="preserve"> PAGEREF _Toc221462003 \h </w:instrText>
            </w:r>
            <w:r>
              <w:rPr>
                <w:noProof/>
                <w:webHidden/>
              </w:rPr>
            </w:r>
            <w:r>
              <w:rPr>
                <w:noProof/>
                <w:webHidden/>
              </w:rPr>
              <w:fldChar w:fldCharType="separate"/>
            </w:r>
            <w:r>
              <w:rPr>
                <w:noProof/>
                <w:webHidden/>
              </w:rPr>
              <w:t>13</w:t>
            </w:r>
            <w:r>
              <w:rPr>
                <w:noProof/>
                <w:webHidden/>
              </w:rPr>
              <w:fldChar w:fldCharType="end"/>
            </w:r>
          </w:hyperlink>
        </w:p>
        <w:p w14:paraId="15AD9587" w14:textId="01009BB7" w:rsidR="000E784F" w:rsidRDefault="000E784F">
          <w:pPr>
            <w:pStyle w:val="Verzeichnis2"/>
            <w:tabs>
              <w:tab w:val="right" w:leader="dot" w:pos="9350"/>
            </w:tabs>
            <w:rPr>
              <w:noProof/>
            </w:rPr>
          </w:pPr>
          <w:hyperlink w:anchor="_Toc221462004" w:history="1">
            <w:r w:rsidRPr="00626A5E">
              <w:rPr>
                <w:rStyle w:val="Hyperlink"/>
                <w:noProof/>
              </w:rPr>
              <w:t>4.4 Limitations and Future Research</w:t>
            </w:r>
            <w:r>
              <w:rPr>
                <w:noProof/>
                <w:webHidden/>
              </w:rPr>
              <w:tab/>
            </w:r>
            <w:r>
              <w:rPr>
                <w:noProof/>
                <w:webHidden/>
              </w:rPr>
              <w:fldChar w:fldCharType="begin"/>
            </w:r>
            <w:r>
              <w:rPr>
                <w:noProof/>
                <w:webHidden/>
              </w:rPr>
              <w:instrText xml:space="preserve"> PAGEREF _Toc221462004 \h </w:instrText>
            </w:r>
            <w:r>
              <w:rPr>
                <w:noProof/>
                <w:webHidden/>
              </w:rPr>
            </w:r>
            <w:r>
              <w:rPr>
                <w:noProof/>
                <w:webHidden/>
              </w:rPr>
              <w:fldChar w:fldCharType="separate"/>
            </w:r>
            <w:r>
              <w:rPr>
                <w:noProof/>
                <w:webHidden/>
              </w:rPr>
              <w:t>13</w:t>
            </w:r>
            <w:r>
              <w:rPr>
                <w:noProof/>
                <w:webHidden/>
              </w:rPr>
              <w:fldChar w:fldCharType="end"/>
            </w:r>
          </w:hyperlink>
        </w:p>
        <w:p w14:paraId="3F4E216D" w14:textId="4EA93A47" w:rsidR="000E784F" w:rsidRDefault="000E784F">
          <w:pPr>
            <w:pStyle w:val="Verzeichnis2"/>
            <w:tabs>
              <w:tab w:val="right" w:leader="dot" w:pos="9350"/>
            </w:tabs>
            <w:rPr>
              <w:noProof/>
            </w:rPr>
          </w:pPr>
          <w:hyperlink w:anchor="_Toc221462005" w:history="1">
            <w:r w:rsidRPr="00626A5E">
              <w:rPr>
                <w:rStyle w:val="Hyperlink"/>
                <w:noProof/>
              </w:rPr>
              <w:t>4.5 Concluding Remarks</w:t>
            </w:r>
            <w:r>
              <w:rPr>
                <w:noProof/>
                <w:webHidden/>
              </w:rPr>
              <w:tab/>
            </w:r>
            <w:r>
              <w:rPr>
                <w:noProof/>
                <w:webHidden/>
              </w:rPr>
              <w:fldChar w:fldCharType="begin"/>
            </w:r>
            <w:r>
              <w:rPr>
                <w:noProof/>
                <w:webHidden/>
              </w:rPr>
              <w:instrText xml:space="preserve"> PAGEREF _Toc221462005 \h </w:instrText>
            </w:r>
            <w:r>
              <w:rPr>
                <w:noProof/>
                <w:webHidden/>
              </w:rPr>
            </w:r>
            <w:r>
              <w:rPr>
                <w:noProof/>
                <w:webHidden/>
              </w:rPr>
              <w:fldChar w:fldCharType="separate"/>
            </w:r>
            <w:r>
              <w:rPr>
                <w:noProof/>
                <w:webHidden/>
              </w:rPr>
              <w:t>14</w:t>
            </w:r>
            <w:r>
              <w:rPr>
                <w:noProof/>
                <w:webHidden/>
              </w:rPr>
              <w:fldChar w:fldCharType="end"/>
            </w:r>
          </w:hyperlink>
        </w:p>
        <w:p w14:paraId="0ECEBCEA" w14:textId="4D2DA805" w:rsidR="000E784F" w:rsidRDefault="000E784F">
          <w:r>
            <w:rPr>
              <w:b/>
              <w:bCs/>
              <w:noProof/>
            </w:rPr>
            <w:fldChar w:fldCharType="end"/>
          </w:r>
        </w:p>
      </w:sdtContent>
    </w:sdt>
    <w:p w14:paraId="690316D8" w14:textId="77777777" w:rsidR="000E784F" w:rsidRPr="000E784F" w:rsidRDefault="000E784F" w:rsidP="000E784F">
      <w:pPr>
        <w:pStyle w:val="berschrift1"/>
      </w:pPr>
      <w:bookmarkStart w:id="1" w:name="_Toc220504177"/>
      <w:r>
        <w:t>Research Question</w:t>
      </w:r>
      <w:bookmarkEnd w:id="1"/>
    </w:p>
    <w:p w14:paraId="36904512" w14:textId="77777777" w:rsidR="000E784F" w:rsidRPr="00DD3894" w:rsidRDefault="000E784F" w:rsidP="000E784F">
      <w:r w:rsidRPr="00DD3894">
        <w:t>Do major patches influence the number of concurrent player</w:t>
      </w:r>
      <w:r>
        <w:t>s</w:t>
      </w:r>
      <w:r w:rsidRPr="00DD3894">
        <w:t xml:space="preserve"> of online games on Steam, looking at four weeks before and after the major patch?</w:t>
      </w:r>
    </w:p>
    <w:p w14:paraId="57B68CE5" w14:textId="77777777" w:rsidR="000E784F" w:rsidRPr="00DD3894" w:rsidRDefault="000E784F" w:rsidP="000E784F">
      <w:commentRangeStart w:id="2"/>
      <w:r w:rsidRPr="00C13AC4">
        <w:t>Steam is an online marketplace for computer games owned by Valve</w:t>
      </w:r>
      <w:r>
        <w:t xml:space="preserve"> </w:t>
      </w:r>
      <w:r>
        <w:fldChar w:fldCharType="begin"/>
      </w:r>
      <w:r>
        <w:instrText xml:space="preserve"> ADDIN ZOTERO_ITEM CSL_CITATION {"citationID":"YDbyfQyu","properties":{"formattedCitation":"({\\i{}Valve - About Us}, o.\\uc0\\u160{}J.)","plainCitation":"(Valve - About Us, o. J.)","noteIndex":0},"citationItems":[{"id":2,"uris":["http://zotero.org/users/local/2q4HgeCI/items/HH44UNT3"],"itemData":{"id":2,"type":"webpage","abstract":"We make games, Steam, and hardware. Join Us.","container-title":"Valve Corporation","title":"Valve - About Us","URL":"https://www.valvesoftware.com/de/about","accessed":{"date-parts":[["2026",1,21]]}}}],"schema":"https://github.com/citation-style-language/schema/raw/master/csl-citation.json"} </w:instrText>
      </w:r>
      <w:r>
        <w:fldChar w:fldCharType="separate"/>
      </w:r>
      <w:r w:rsidRPr="000749B5">
        <w:rPr>
          <w:rFonts w:ascii="Cambria" w:hAnsi="Cambria" w:cs="Times New Roman"/>
        </w:rPr>
        <w:t>(</w:t>
      </w:r>
      <w:r w:rsidRPr="000749B5">
        <w:rPr>
          <w:rFonts w:ascii="Cambria" w:hAnsi="Cambria" w:cs="Times New Roman"/>
          <w:i/>
          <w:iCs/>
        </w:rPr>
        <w:t>Valve - About Us</w:t>
      </w:r>
      <w:r w:rsidRPr="000749B5">
        <w:rPr>
          <w:rFonts w:ascii="Cambria" w:hAnsi="Cambria" w:cs="Times New Roman"/>
        </w:rPr>
        <w:t>, o. J.)</w:t>
      </w:r>
      <w:r>
        <w:fldChar w:fldCharType="end"/>
      </w:r>
      <w:r w:rsidRPr="00C13AC4">
        <w:t>. The platform also functions as a launcher for the purchased games so that it can track the player's activity as well.</w:t>
      </w:r>
      <w:commentRangeEnd w:id="2"/>
      <w:r>
        <w:rPr>
          <w:rStyle w:val="Kommentarzeichen"/>
          <w:sz w:val="22"/>
          <w:szCs w:val="22"/>
        </w:rPr>
        <w:commentReference w:id="2"/>
      </w:r>
      <w:r>
        <w:t xml:space="preserve"> </w:t>
      </w:r>
      <w:r w:rsidRPr="00DD3894">
        <w:t xml:space="preserve">To answer </w:t>
      </w:r>
      <w:r>
        <w:t>the research</w:t>
      </w:r>
      <w:r w:rsidRPr="00DD3894">
        <w:t xml:space="preserve"> question, the analysis focuses on the </w:t>
      </w:r>
      <w:r>
        <w:t>t</w:t>
      </w:r>
      <w:r w:rsidRPr="00DD3894">
        <w:t>op</w:t>
      </w:r>
      <w:r>
        <w:t xml:space="preserve">list of most played </w:t>
      </w:r>
      <w:r w:rsidRPr="00DD3894">
        <w:t xml:space="preserve">games on Steam and compares titles within the same genre that did and did not receive a major patch during the same timeframe. By focusing on the Top </w:t>
      </w:r>
      <w:r>
        <w:t>100</w:t>
      </w:r>
      <w:r w:rsidRPr="00DD3894">
        <w:t xml:space="preserve"> games, the study assumes that these titles have sufficiently large and stable player bases and receive regular patches. Additionally, it is assumed that the dynamics observed in these games reflect general market behaviour. That allows the study's results to be generalized to the overall Steam market</w:t>
      </w:r>
      <w:r>
        <w:t xml:space="preserve"> looking at the most played games</w:t>
      </w:r>
      <w:r w:rsidRPr="00DD3894">
        <w:t>. A Difference-in-Differences (DiD) approach will be used to estimate the causal impact of major patches on player engagement and sales performance.</w:t>
      </w:r>
    </w:p>
    <w:p w14:paraId="1148005D" w14:textId="77777777" w:rsidR="000E784F" w:rsidRDefault="000E784F" w:rsidP="000E784F">
      <w:pPr>
        <w:spacing w:after="240"/>
        <w:rPr>
          <w:rFonts w:eastAsia="Arial" w:cs="Arial"/>
        </w:rPr>
      </w:pPr>
      <w:r w:rsidRPr="411858CD">
        <w:rPr>
          <w:rFonts w:eastAsia="Arial" w:cs="Arial"/>
        </w:rPr>
        <w:t>While minor updates such as bug fixes are routine, "major patches" including content seasons, expansions or version overhauls represent significant investments of development resources. Understanding the return on investment (ROI) of these major patches is critical for developers and stakeholders in the digital market. While anecdotal evidence suggests patches spike interest, there is a need for rigorous statistical analysis to quantify this effect over a specific window.</w:t>
      </w:r>
    </w:p>
    <w:p w14:paraId="1242BB17" w14:textId="77777777" w:rsidR="000E784F" w:rsidRDefault="000E784F" w:rsidP="000E784F">
      <w:pPr>
        <w:spacing w:after="240"/>
        <w:rPr>
          <w:rFonts w:eastAsia="Arial" w:cs="Arial"/>
        </w:rPr>
      </w:pPr>
    </w:p>
    <w:p w14:paraId="251029E3" w14:textId="77777777" w:rsidR="000E784F" w:rsidRDefault="000E784F" w:rsidP="000E784F">
      <w:pPr>
        <w:spacing w:after="240"/>
        <w:rPr>
          <w:rFonts w:eastAsia="Arial" w:cs="Arial"/>
        </w:rPr>
      </w:pPr>
    </w:p>
    <w:p w14:paraId="7823BCB5" w14:textId="77777777" w:rsidR="000E784F" w:rsidRDefault="000E784F" w:rsidP="000E784F">
      <w:pPr>
        <w:spacing w:after="240"/>
        <w:rPr>
          <w:rFonts w:eastAsia="Arial" w:cs="Arial"/>
        </w:rPr>
      </w:pPr>
      <w:r>
        <w:rPr>
          <w:rFonts w:eastAsia="Arial" w:cs="Arial"/>
        </w:rPr>
        <w:t>Hinzufügen: anticipation period</w:t>
      </w:r>
    </w:p>
    <w:p w14:paraId="0E0B6464" w14:textId="77777777" w:rsidR="000E784F" w:rsidRDefault="000E784F" w:rsidP="000E784F">
      <w:r>
        <w:br w:type="page"/>
      </w:r>
    </w:p>
    <w:p w14:paraId="661714E3" w14:textId="77777777" w:rsidR="000E784F" w:rsidRDefault="000E784F" w:rsidP="000E784F">
      <w:pPr>
        <w:rPr>
          <w:rFonts w:eastAsiaTheme="majorEastAsia" w:cstheme="majorBidi"/>
          <w:b/>
          <w:bCs/>
          <w:sz w:val="32"/>
          <w:szCs w:val="28"/>
        </w:rPr>
      </w:pPr>
    </w:p>
    <w:p w14:paraId="1E892A06" w14:textId="77777777" w:rsidR="000E784F" w:rsidRDefault="000E784F" w:rsidP="000E784F">
      <w:pPr>
        <w:pStyle w:val="berschrift1"/>
      </w:pPr>
      <w:bookmarkStart w:id="3" w:name="_Toc220504178"/>
      <w:r>
        <w:t>Theory and conceptual model</w:t>
      </w:r>
      <w:bookmarkEnd w:id="3"/>
    </w:p>
    <w:p w14:paraId="0F1DEEB1" w14:textId="77777777" w:rsidR="000E784F" w:rsidRDefault="000E784F" w:rsidP="000E784F">
      <w:pPr>
        <w:pStyle w:val="berschrift2"/>
      </w:pPr>
      <w:bookmarkStart w:id="4" w:name="_Toc220504179"/>
      <w:r>
        <w:t>Hypothesis</w:t>
      </w:r>
      <w:bookmarkEnd w:id="4"/>
    </w:p>
    <w:p w14:paraId="0A5AACDC" w14:textId="77777777" w:rsidR="000E784F" w:rsidRDefault="000E784F" w:rsidP="000E784F">
      <w:r>
        <w:t>Looking at major releases, they often introduce new gameplay elements, provide new content and are often accompanied by extensive promotional campaigns. These updates increase the visibility and perceived relevance of the game. Within peer groups where the game is regularly played, this could also activate social dynamics and cause peer pressure to play the new content as soon as possible in fear of missing out. This motivates players to play the content as early as possible to remain socially included and competitive.</w:t>
      </w:r>
    </w:p>
    <w:p w14:paraId="53A61C02" w14:textId="77777777" w:rsidR="000E784F" w:rsidRDefault="000E784F" w:rsidP="000E784F">
      <w:r>
        <w:t>Taking in the listed points, the introduction of new content, heightened promotional activity and social influences following major releases. This leads to the following hypothesis.</w:t>
      </w:r>
    </w:p>
    <w:p w14:paraId="268D5963" w14:textId="77777777" w:rsidR="000E784F" w:rsidRPr="009E41DF" w:rsidRDefault="000E784F" w:rsidP="000E784F">
      <w:pPr>
        <w:rPr>
          <w:i/>
          <w:iCs/>
        </w:rPr>
      </w:pPr>
      <w:r>
        <w:tab/>
      </w:r>
      <w:r>
        <w:rPr>
          <w:i/>
          <w:iCs/>
        </w:rPr>
        <w:t>After major releases, the number of concurrent players rises in online games.</w:t>
      </w:r>
    </w:p>
    <w:p w14:paraId="17AAEA95" w14:textId="77777777" w:rsidR="000E784F" w:rsidRDefault="000E784F" w:rsidP="000E784F">
      <w:pPr>
        <w:pStyle w:val="berschrift2"/>
      </w:pPr>
      <w:bookmarkStart w:id="5" w:name="_Toc220504180"/>
      <w:r>
        <w:t>Related work</w:t>
      </w:r>
      <w:bookmarkEnd w:id="5"/>
    </w:p>
    <w:p w14:paraId="12F611C6" w14:textId="77777777" w:rsidR="000E784F" w:rsidRDefault="000E784F" w:rsidP="000E784F">
      <w:pPr>
        <w:spacing w:after="160" w:line="278" w:lineRule="auto"/>
      </w:pPr>
      <w:r w:rsidRPr="00AF3A39">
        <w:t>Looking at the existing literature, major updates, and the players' motivation and reengagement can be combined. As seen in the Uses and Gratification Theory, players actively seek out media that satisfy psychological needs, such as enjoyment and novelty</w:t>
      </w:r>
      <w:r>
        <w:t xml:space="preserve"> </w:t>
      </w:r>
      <w:r>
        <w:fldChar w:fldCharType="begin"/>
      </w:r>
      <w:r>
        <w:instrText xml:space="preserve"> ADDIN ZOTERO_ITEM CSL_CITATION {"citationID":"l2d4QQCL","properties":{"formattedCitation":"(Katz et al., 1973)","plainCitation":"(Katz et al., 1973)","noteIndex":0},"citationItems":[{"id":17,"uris":["http://zotero.org/users/local/2q4HgeCI/items/44JJV4AI"],"itemData":{"id":17,"type":"article-journal","container-title":"The Public Opinion Quarterly","ISSN":"0033-362X","issue":"4","page":"509-523","publisher":"[Oxford University Press, American Association for Public Opinion Research]","source":"JSTOR","title":"Uses and Gratifications Research","volume":"37","author":[{"family":"Katz","given":"Elihu"},{"family":"Blumler","given":"Jay G."},{"family":"Gurevitch","given":"Michael"}],"issued":{"date-parts":[["1973"]]}}}],"schema":"https://github.com/citation-style-language/schema/raw/master/csl-citation.json"} </w:instrText>
      </w:r>
      <w:r>
        <w:fldChar w:fldCharType="separate"/>
      </w:r>
      <w:r w:rsidRPr="00400160">
        <w:rPr>
          <w:rFonts w:ascii="Cambria" w:hAnsi="Cambria"/>
        </w:rPr>
        <w:t>(Katz et al., 1973)</w:t>
      </w:r>
      <w:r>
        <w:fldChar w:fldCharType="end"/>
      </w:r>
      <w:r>
        <w:t xml:space="preserve">. </w:t>
      </w:r>
      <w:r w:rsidRPr="00940ACA">
        <w:t>In digital games, these needs are tied to the player's intrinsic motivation for new experiences and engagement. Major patches can renew this gratification by introducing new content or gameplay dynamics, thereby increasing the player's motivation to keep playing. This aligns with Yee's findings, which state that ongoing content and in-game experiences are important for maintaining player engagement</w:t>
      </w:r>
      <w:r>
        <w:t xml:space="preserve"> </w:t>
      </w:r>
      <w:r>
        <w:fldChar w:fldCharType="begin"/>
      </w:r>
      <w:r>
        <w:instrText xml:space="preserve"> ADDIN ZOTERO_ITEM CSL_CITATION {"citationID":"NrHE3Hef","properties":{"formattedCitation":"(Yee, 2006)","plainCitation":"(Yee, 2006)","noteIndex":0},"citationItems":[{"id":15,"uris":["http://zotero.org/users/local/2q4HgeCI/items/DXSAYVAP"],"itemData":{"id":15,"type":"article-journal","abstract":"An empirical model of player motivations in online games provides the foundation to understand and assess how players differ from one another and how motivations of play relate to age, gender, usage patterns, and in-game behaviors. In the current study, a factor analytic approach was used to create an empirical model of player motivations. The analysis revealed 10 motivation subcomponents that grouped into three overarching components (achievement, social, and immersion). Relationships between motivations and demographic variables (age, gender, and usage patterns) are also presented.","container-title":"CyberPsychology &amp; Behavior","DOI":"10.1089/cpb.2006.9.772","ISSN":"1094-9313","issue":"6","language":"EN","page":"772-775","publisher":"SAGE Publications","source":"SAGE Journals","title":"Motivations for Play in Online Games","volume":"9","author":[{"family":"Yee","given":"Nick"}],"issued":{"date-parts":[["2006",12,1]]}}}],"schema":"https://github.com/citation-style-language/schema/raw/master/csl-citation.json"} </w:instrText>
      </w:r>
      <w:r>
        <w:fldChar w:fldCharType="separate"/>
      </w:r>
      <w:r w:rsidRPr="00400160">
        <w:rPr>
          <w:rFonts w:ascii="Cambria" w:hAnsi="Cambria"/>
        </w:rPr>
        <w:t>(Yee, 2006)</w:t>
      </w:r>
      <w:r>
        <w:fldChar w:fldCharType="end"/>
      </w:r>
      <w:r>
        <w:t>.</w:t>
      </w:r>
    </w:p>
    <w:p w14:paraId="0514A2E3" w14:textId="77777777" w:rsidR="000E784F" w:rsidRDefault="000E784F" w:rsidP="000E784F">
      <w:pPr>
        <w:spacing w:after="160" w:line="278" w:lineRule="auto"/>
      </w:pPr>
      <w:r w:rsidRPr="00AC44E2">
        <w:t>Another important theme related to the fluctuation in concurrent players is the attention and visibility of the games on the Steam store. Steam is an attention-driven platform where visibility strongly influences player activity. According to the attention economy theory, products that receive greater exposure are more likely to be consumed or noticed</w:t>
      </w:r>
      <w:r>
        <w:t xml:space="preserve"> </w:t>
      </w:r>
      <w:r>
        <w:fldChar w:fldCharType="begin"/>
      </w:r>
      <w:r>
        <w:instrText xml:space="preserve"> ADDIN ZOTERO_ITEM CSL_CITATION {"citationID":"8u3BfunX","properties":{"formattedCitation":"(H &amp; C, 2001)","plainCitation":"(H &amp; C, 2001)","noteIndex":0},"citationItems":[{"id":22,"uris":["http://zotero.org/users/local/2q4HgeCI/items/Q6M2YE5V"],"itemData":{"id":22,"type":"article-journal","archive_location":"New York, NY, USA","container-title":"Ubiquity","DOI":"10.1145/375348.376626","language":"EN","publisher":"ACMPUB27New York, NY, USA","source":"dl.acm.org","title":"The Attention economy","URL":"https://dl.acm.org/doi/10.1145/375348.376626","author":[{"family":"H","given":"DavenportThomas"},{"family":"C","given":"BeckJohn"}],"accessed":{"date-parts":[["2026",1,21]]},"issued":{"date-parts":[["2001",5,1]]}}}],"schema":"https://github.com/citation-style-language/schema/raw/master/csl-citation.json"} </w:instrText>
      </w:r>
      <w:r>
        <w:fldChar w:fldCharType="separate"/>
      </w:r>
      <w:r w:rsidRPr="0067635E">
        <w:rPr>
          <w:rFonts w:ascii="Cambria" w:hAnsi="Cambria"/>
        </w:rPr>
        <w:t>(H &amp; C, 2001)</w:t>
      </w:r>
      <w:r>
        <w:fldChar w:fldCharType="end"/>
      </w:r>
      <w:r>
        <w:t xml:space="preserve">. </w:t>
      </w:r>
      <w:r w:rsidRPr="0018354F">
        <w:t xml:space="preserve">Major patches draw significant attention to a game within the platform ecosystem, which results in new players joining. This is also evident in digital games, as noted by Marchand et al., who found that major patches increase platform signals such as news and reviews, resulting in improved visibility and salience within an attention-scarce environment. </w:t>
      </w:r>
      <w:r>
        <w:fldChar w:fldCharType="begin"/>
      </w:r>
      <w:r>
        <w:instrText xml:space="preserve"> ADDIN ZOTERO_ITEM CSL_CITATION {"citationID":"prTBQKQm","properties":{"formattedCitation":"(Marchand &amp; Hennig-Thurau, 2013)","plainCitation":"(Marchand &amp; Hennig-Thurau, 2013)","noteIndex":0},"citationItems":[{"id":24,"uris":["http://zotero.org/users/local/2q4HgeCI/items/AFF97KRD"],"itemData":{"id":24,"type":"article-journal","abstract":"In the past twenty years, the video game industry has established itself as a significant contributor to the global entertainment economy. Compared to more established entertainment industries such as movies and music, limited scholarly research in marketing has addressed the processes that create value for companies and consumers in the context of video games which are now available on multiple devices (e.g., consoles, portables, mobile devices) and through multiple channels (e.g., retail and online). The authors therefore develop a conceptual framework of value creation through video games, highlight important findings from extant research in marketing and other disciplines, and apply the framework to derive future research opportunities.","container-title":"Journal of Interactive Marketing","DOI":"10.1016/j.intmar.2013.05.001","ISSN":"1094-9968","issue":"3","language":"EN","page":"141-157","publisher":"SAGE Publications","source":"SAGE Journals","title":"Value Creation in the Video Game Industry: Industry Economics, Consumer Benefits, and Research Opportunities","title-short":"Value Creation in the Video Game Industry","volume":"27","author":[{"family":"Marchand","given":"André"},{"family":"Hennig-Thurau","given":"Thorsten"}],"issued":{"date-parts":[["2013",8,1]]}}}],"schema":"https://github.com/citation-style-language/schema/raw/master/csl-citation.json"} </w:instrText>
      </w:r>
      <w:r>
        <w:fldChar w:fldCharType="separate"/>
      </w:r>
      <w:r w:rsidRPr="0067635E">
        <w:rPr>
          <w:rFonts w:ascii="Cambria" w:hAnsi="Cambria"/>
        </w:rPr>
        <w:t>(Marchand &amp; Hennig-Thurau, 2013)</w:t>
      </w:r>
      <w:r>
        <w:fldChar w:fldCharType="end"/>
      </w:r>
    </w:p>
    <w:p w14:paraId="03B99CA9" w14:textId="77777777" w:rsidR="000E784F" w:rsidRDefault="000E784F" w:rsidP="000E784F">
      <w:pPr>
        <w:spacing w:after="160" w:line="278" w:lineRule="auto"/>
      </w:pPr>
      <w:r w:rsidRPr="00D332AE">
        <w:t>After gaining visibility and attention to attract new players and reactivate old ones, it is important for them to stay engaged by confirming their expectations. Expectation confirmation theory states that the continued use of a product or service depends on the extent to which initial expectations are confirmed or exceeded during actual use</w:t>
      </w:r>
      <w:r>
        <w:t xml:space="preserve"> </w:t>
      </w:r>
      <w:r>
        <w:fldChar w:fldCharType="begin"/>
      </w:r>
      <w:r>
        <w:instrText xml:space="preserve"> ADDIN ZOTERO_ITEM CSL_CITATION {"citationID":"1J1MZxIw","properties":{"formattedCitation":"(Oliver, 1980)","plainCitation":"(Oliver, 1980)","noteIndex":0},"citationItems":[{"id":25,"uris":["http://zotero.org/users/local/2q4HgeCI/items/ARIIBMCZ"],"itemData":{"id":25,"type":"article-journal","abstract":"A model is proposed which expresses consumer satisfaction as a function of expectation and expectancy disconfirmation. Satisfaction, in turn, is believed to influence attitude change and purchase intention. Results from a two-stage field study support the scheme for consumers and nonconsumers of a flu inoculation.","container-title":"Journal of Marketing Research","DOI":"10.1177/002224378001700405","ISSN":"0022-2437","issue":"4","language":"EN","page":"460-469","publisher":"SAGE Publications Inc","source":"SAGE Journals","title":"A Cognitive Model of the Antecedents and Consequences of Satisfaction Decisions","volume":"17","author":[{"family":"Oliver","given":"Richard L."}],"issued":{"date-parts":[["1980",11,1]]}}}],"schema":"https://github.com/citation-style-language/schema/raw/master/csl-citation.json"} </w:instrText>
      </w:r>
      <w:r>
        <w:fldChar w:fldCharType="separate"/>
      </w:r>
      <w:r w:rsidRPr="00303845">
        <w:rPr>
          <w:rFonts w:ascii="Cambria" w:hAnsi="Cambria"/>
        </w:rPr>
        <w:t>(Oliver, 1980)</w:t>
      </w:r>
      <w:r>
        <w:fldChar w:fldCharType="end"/>
      </w:r>
      <w:r>
        <w:t xml:space="preserve">. </w:t>
      </w:r>
      <w:r w:rsidRPr="00D332AE">
        <w:t>In digital products, that theory especially applies to the gameplay after major patches, as players approach updates with heightened expectations. If the gameplay after the patch fails to meet players' expectations, the number of concurrent players will drop significantly shortly after the patch</w:t>
      </w:r>
      <w:r>
        <w:t xml:space="preserve"> </w:t>
      </w:r>
      <w:r>
        <w:fldChar w:fldCharType="begin"/>
      </w:r>
      <w:r>
        <w:instrText xml:space="preserve"> ADDIN ZOTERO_ITEM CSL_CITATION {"citationID":"4CYtPzBJ","properties":{"formattedCitation":"(Hamari et al., 2017)","plainCitation":"(Hamari et al., 2017)","noteIndex":0},"citationItems":[{"id":26,"uris":["http://zotero.org/users/local/2q4HgeCI/items/NCA4BERC"],"itemData":{"id":26,"type":"article-journal","abstract":"Selling in-game content has become a popular revenue model for game publishers. While prior research has investigated latent motivations as determinants of in-game content purchases, the prior literature has not focused on more concrete reasons to purchase in-game content that stem from how the games are being designed. We form an inventory of reasons (19) to buy in-game content via triangulating from analyses of top-grossing free-to-play games, from a review of existing research, and from industry expert input. These reasons were operationalized into a survey (N = 519). Firstly, we explored how these motivations converged into categories. The results indicated that the purchasing reasons converged into six dimensions: 1) Unobstructed play, 2) Social interaction, 3) Competition, 4) Economical rationale, 5) Indulging the children, and 6) Unlocking content. Secondly, we investigated the relationship between these factors and how much players spend money on in-game content. The results revealed that the purchase motivations of unobstructed play, social interaction, and economical rationale were positively associated with how much money players spend on in-game content. The results imply that the way designers implement artificial limitations and obstacles as well as social interaction affects how much players spend money on in-game content.","container-title":"Computers in Human Behavior","DOI":"10.1016/j.chb.2016.11.045","ISSN":"0747-5632","journalAbbreviation":"Computers in Human Behavior","page":"538-546","source":"ScienceDirect","title":"Why do players buy in-game content? An empirical study on concrete purchase motivations","title-short":"Why do players buy in-game content?","volume":"68","author":[{"family":"Hamari","given":"Juho"},{"family":"Alha","given":"Kati"},{"family":"Järvelä","given":"Simo"},{"family":"Kivikangas","given":"J. Matias"},{"family":"Koivisto","given":"Jonna"},{"family":"Paavilainen","given":"Janne"}],"issued":{"date-parts":[["2017",3,1]]}}}],"schema":"https://github.com/citation-style-language/schema/raw/master/csl-citation.json"} </w:instrText>
      </w:r>
      <w:r>
        <w:fldChar w:fldCharType="separate"/>
      </w:r>
      <w:r w:rsidRPr="00F40A12">
        <w:rPr>
          <w:rFonts w:ascii="Cambria" w:hAnsi="Cambria"/>
        </w:rPr>
        <w:t>(Hamari et al., 2017)</w:t>
      </w:r>
      <w:r>
        <w:fldChar w:fldCharType="end"/>
      </w:r>
      <w:r>
        <w:t>.</w:t>
      </w:r>
    </w:p>
    <w:p w14:paraId="02BBA9BC" w14:textId="77777777" w:rsidR="000E784F" w:rsidRDefault="000E784F" w:rsidP="000E784F">
      <w:pPr>
        <w:spacing w:after="160" w:line="278" w:lineRule="auto"/>
      </w:pPr>
      <w:r w:rsidRPr="009D5F07">
        <w:lastRenderedPageBreak/>
        <w:t>If the gameplay after the new major patch meets or exceeds players' expectations, the update could extend the game's lifespan. In the product life cycle, this effect can be interpreted as a shift from a maturity phase back into a growth phase. Major patches can be seen as "mini relaunches" by reintroducing the game to the market with more relevance. The relaunch effect generates attention and increases the game's potential to attract new customers and regain old ones. Zhu et al. provide empirical evidence for this mechanism, showing that major patches act as mini relaunches and generate new attention for the game</w:t>
      </w:r>
      <w:r>
        <w:t xml:space="preserve"> </w:t>
      </w:r>
      <w:r>
        <w:fldChar w:fldCharType="begin"/>
      </w:r>
      <w:r>
        <w:instrText xml:space="preserve"> ADDIN ZOTERO_ITEM CSL_CITATION {"citationID":"stB6LIPh","properties":{"formattedCitation":"(Zhu &amp; Zhang, 2010)","plainCitation":"(Zhu &amp; Zhang, 2010)","noteIndex":0},"citationItems":[{"id":19,"uris":["http://zotero.org/users/local/2q4HgeCI/items/BJGXAZB9"],"itemData":{"id":19,"type":"article-journal","abstract":"This article examines how product and consumer characteristics moderate the influence of online consumer reviews on product sales using data from the video game industry. The findings indicate that online reviews are more influential for less popular games and games whose players have greater Internet experience. The article shows differential impact of consumer reviews across products in the same product category and suggests that firms’ online marketing strategies should be contingent on product and consumer characteristics. The authors discuss the implications of these results in light of the increased share of niche products in recent years.","container-title":"Journal of Marketing","DOI":"10.1509/jm.74.2.133","ISSN":"0022-2429","issue":"2","language":"EN","page":"133-148","publisher":"SAGE Publications Inc","source":"SAGE Journals","title":"Impact of Online Consumer Reviews on Sales: The Moderating Role of Product and Consumer Characteristics","title-short":"Impact of Online Consumer Reviews on Sales","volume":"74","author":[{"family":"Zhu","given":"Feng"},{"family":"Zhang","given":"Xiaoquan (Michael)"}],"issued":{"date-parts":[["2010",3,1]]}}}],"schema":"https://github.com/citation-style-language/schema/raw/master/csl-citation.json"} </w:instrText>
      </w:r>
      <w:r>
        <w:fldChar w:fldCharType="separate"/>
      </w:r>
      <w:r w:rsidRPr="00F90E8E">
        <w:rPr>
          <w:rFonts w:ascii="Cambria" w:hAnsi="Cambria"/>
        </w:rPr>
        <w:t>(Zhu &amp; Zhang, 2010)</w:t>
      </w:r>
      <w:r>
        <w:fldChar w:fldCharType="end"/>
      </w:r>
      <w:r>
        <w:t>.</w:t>
      </w:r>
    </w:p>
    <w:p w14:paraId="746B3675" w14:textId="77777777" w:rsidR="000E784F" w:rsidRDefault="000E784F" w:rsidP="000E784F">
      <w:pPr>
        <w:spacing w:after="160" w:line="278" w:lineRule="auto"/>
      </w:pPr>
      <w:r w:rsidRPr="00D718B2">
        <w:t>In addition to the relaunch effect, major updates highlight online games as ongoing services rather than static products. From a service-dominant perspective, online games on Steam continuously renew their value through major updates</w:t>
      </w:r>
      <w:r>
        <w:t xml:space="preserve"> </w:t>
      </w:r>
      <w:r>
        <w:fldChar w:fldCharType="begin"/>
      </w:r>
      <w:r>
        <w:instrText xml:space="preserve"> ADDIN ZOTERO_ITEM CSL_CITATION {"citationID":"F5sx3VJo","properties":{"formattedCitation":"(Vargo &amp; Lusch, 2008)","plainCitation":"(Vargo &amp; Lusch, 2008)","noteIndex":0},"citationItems":[{"id":20,"uris":["http://zotero.org/users/local/2q4HgeCI/items/T7NQA6XU"],"itemData":{"id":20,"type":"article-journal","abstract":"Since the introductory article for what has become known as the “service-dominant (S-D) logic of marketing,” “Evolving to a New Dominant Logic for Marketing,” was published in the Journal of Marketing (Vargo, S. L., &amp; Lusch, R. F. (2004a)), there has been considerable discussion and elaboration of its specifics. This article highlights and clarifies the salient issues associated with S-D logic and updates the original foundational premises (FPs) and adds an FP. Directions for future work are also discussed.","container-title":"Journal of the Academy of Marketing Science","DOI":"10.1007/s11747-007-0069-6","ISSN":"1552-7824","issue":"1","journalAbbreviation":"J. of the Acad. Mark. Sci.","language":"en","page":"1-10","source":"Springer Link","title":"Service-dominant logic: continuing the evolution","title-short":"Service-dominant logic","volume":"36","author":[{"family":"Vargo","given":"Stephen L."},{"family":"Lusch","given":"Robert F."}],"issued":{"date-parts":[["2008",3,1]]}}}],"schema":"https://github.com/citation-style-language/schema/raw/master/csl-citation.json"} </w:instrText>
      </w:r>
      <w:r>
        <w:fldChar w:fldCharType="separate"/>
      </w:r>
      <w:r w:rsidRPr="009D4571">
        <w:rPr>
          <w:rFonts w:ascii="Cambria" w:hAnsi="Cambria"/>
        </w:rPr>
        <w:t>(Vargo &amp; Lusch, 2008)</w:t>
      </w:r>
      <w:r>
        <w:fldChar w:fldCharType="end"/>
      </w:r>
      <w:r>
        <w:t xml:space="preserve">. </w:t>
      </w:r>
      <w:r w:rsidRPr="0031578E">
        <w:t>In this sense, major updates not only add new content to the game but also actively reactivate the service offering, reinforcing the game's relevance. The empirical study by Fleischmann et al. provides causal evidence that content-rich updates, as defined in our major patch definition, increase user engagement, whereas purely technical updates do not. Their findings identify mechanisms such as renewed player interest and others due to major patches. The results of the study align with our hypothesis, as they mention mechanisms responsible for the spikes in player engagement after a major update</w:t>
      </w:r>
      <w:r>
        <w:t xml:space="preserve"> </w:t>
      </w:r>
      <w:r>
        <w:fldChar w:fldCharType="begin"/>
      </w:r>
      <w:r>
        <w:instrText xml:space="preserve"> ADDIN ZOTERO_ITEM CSL_CITATION {"citationID":"ODyF6O2q","properties":{"formattedCitation":"(Fleischmann et al., 2016)","plainCitation":"(Fleischmann et al., 2016)","noteIndex":0},"citationItems":[{"id":35,"uris":["http://zotero.org/users/local/2q4HgeCI/items/BD57UMA7"],"itemData":{"id":35,"type":"article-journal","abstract":"Although software updates are a ubiquitous phenomenon in professional and private IT usage, they have to date received little attention in the IS post-adoption literature. Drawing on expectation–confirmation theory and the IS continuance literature, we investigate whether, when and how software updates affect users' continuance intentions (CI). Based on a controlled laboratory experiment, we find a positive effect of feature updates on users' CI. According to this effect, software vendors can increase their users' CI by delivering features through updates after a software has been released and is already used by customers. We also find that users prefer frequent feature updates over less frequent update packages that bundle several features in one update. However, the positive effect from updates occurs only with functional feature updates and not with technical non-feature updates, disclosing update frequency and update type as crucial moderators to this effect. Furthermore, we unveil that this beneficial effect of feature updates operates through positive disconfirmation of expectations, resulting in increased perceived usefulness and satisfaction. Implications for research and practice as well as directions for future research are discussed.","container-title":"Decision Support Systems","DOI":"10.1016/j.dss.2015.12.010","ISSN":"0167-9236","journalAbbreviation":"Decision Support Systems","page":"83-96","source":"ScienceDirect","title":"The role of software updates in information systems continuance — An experimental study from a user perspective","volume":"83","author":[{"family":"Fleischmann","given":"Marvin"},{"family":"Amirpur","given":"Miglena"},{"family":"Grupp","given":"Tillmann"},{"family":"Benlian","given":"Alexander"},{"family":"Hess","given":"Thomas"}],"issued":{"date-parts":[["2016",3,1]]}}}],"schema":"https://github.com/citation-style-language/schema/raw/master/csl-citation.json"} </w:instrText>
      </w:r>
      <w:r>
        <w:fldChar w:fldCharType="separate"/>
      </w:r>
      <w:r w:rsidRPr="00D90960">
        <w:rPr>
          <w:rFonts w:ascii="Cambria" w:hAnsi="Cambria"/>
        </w:rPr>
        <w:t>(Fleischmann et al., 2016)</w:t>
      </w:r>
      <w:r>
        <w:fldChar w:fldCharType="end"/>
      </w:r>
      <w:r>
        <w:t>.</w:t>
      </w:r>
    </w:p>
    <w:p w14:paraId="50152A4E" w14:textId="77777777" w:rsidR="000E784F" w:rsidRDefault="000E784F" w:rsidP="000E784F">
      <w:pPr>
        <w:spacing w:after="160" w:line="278" w:lineRule="auto"/>
      </w:pPr>
      <w:r w:rsidRPr="00291EB0">
        <w:t>Concluding the preceding aspects, major patches act as exogenous shocks to players. According to the empirical evidence from Zhong et al., major updates drive meaningful changes in player activity, supporting their definition of these updates as exogenous shocks to the player community</w:t>
      </w:r>
      <w:r>
        <w:t xml:space="preserve"> </w:t>
      </w:r>
      <w:r>
        <w:fldChar w:fldCharType="begin"/>
      </w:r>
      <w:r>
        <w:instrText xml:space="preserve"> ADDIN ZOTERO_ITEM CSL_CITATION {"citationID":"HlhdvINs","properties":{"formattedCitation":"(Zhong &amp; Xu, 2022)","plainCitation":"(Zhong &amp; Xu, 2022)","noteIndex":0},"citationItems":[{"id":4,"uris":["http://zotero.org/users/local/2q4HgeCI/items/DGJC35QE"],"itemData":{"id":4,"type":"article-journal","abstract":"In game updates research, there has been little research on what kind of updates elicit what kind of reactions from players. In this paper, we test the efficacy of three game update patterns, namely major but infrequent updates, minor but frequent updates, and irrelevant updates on enhancing player engagement in the context of DOTA2. Surprisingly, we find that not all feature updates will have a positive effect on player engagement. Specifically, in the vast majority of cases, players will significantly be stimulated to engage in the game after major but infrequent updates (range from 11% to 49%). By contrast, minor but frequent updates may work ineffectually and even present a hazard to player engagement (range from −4.7% to 5.9%, 3 times is positive and 3 times is negative). Finally, player engagement has no obvious difference before and after irrelevant updates. Furthermore, we find that although players will have more leisure time after the outbreak of COVID-19 due to the mandatory quarantine policy, their intentions to play games will be reduced, which further void the effect of game updates. Also, updating the game during a big game event might not be a good opportunity as updating at this moment will make the benefits that should be brought less obvious. Our results offer theoretical and managerial implications to scholars and the game industry on how to improve player engagement by properly releasing game update patches.","container-title":"Entertainment Computing","DOI":"10.1016/j.entcom.2022.100506","ISSN":"1875-9521","journalAbbreviation":"Entertainment Computing","page":"100506","source":"ScienceDirect","title":"Measuring the effect of game updates on player engagement: A cue from DOTA2","title-short":"Measuring the effect of game updates on player engagement","volume":"43","author":[{"family":"Zhong","given":"Xiaofang"},{"family":"Xu","given":"Jinjie"}],"issued":{"date-parts":[["2022",8,1]]}}}],"schema":"https://github.com/citation-style-language/schema/raw/master/csl-citation.json"} </w:instrText>
      </w:r>
      <w:r>
        <w:fldChar w:fldCharType="separate"/>
      </w:r>
      <w:r w:rsidRPr="001D7646">
        <w:rPr>
          <w:rFonts w:ascii="Cambria" w:hAnsi="Cambria"/>
        </w:rPr>
        <w:t>(Zhong &amp; Xu, 2022)</w:t>
      </w:r>
      <w:r>
        <w:fldChar w:fldCharType="end"/>
      </w:r>
      <w:r>
        <w:t xml:space="preserve">. </w:t>
      </w:r>
      <w:r w:rsidRPr="002E5CD2">
        <w:t>Further studies show that major patches can cause strong short-term shocks that lead to fluctuations in player activity. These shocks can act both positively, driven by the release of new content, and negatively, resulting from the game's existing instability after the update</w:t>
      </w:r>
      <w:r>
        <w:t xml:space="preserve"> </w:t>
      </w:r>
      <w:r>
        <w:fldChar w:fldCharType="begin"/>
      </w:r>
      <w:r>
        <w:instrText xml:space="preserve"> ADDIN ZOTERO_ITEM CSL_CITATION {"citationID":"Na0bW2qv","properties":{"formattedCitation":"(LinDayi et al., 2017)","plainCitation":"(LinDayi et al., 2017)","noteIndex":0},"citationItems":[{"id":29,"uris":["http://zotero.org/users/local/2q4HgeCI/items/5VR28ALJ"],"itemData":{"id":29,"type":"article-journal","abstract":"The steadily increasing popularity of computer games has led to the rise of a multi-billion\ndollar industry. This increasing popularity is partly enabled by online digital distribution\nplatforms for games, such as Steam. These platforms offer an insight ...","archive_location":"Norwell, MA, USA","container-title":"Empirical Software Engineering","DOI":"10.1007/s10664-016-9480-2","language":"EN","publisher":"Kluwer Academic PublishersPUB879Norwell, MA, USA","source":"dl.acm.org","title":"Studying the urgent updates of popular games on the Steam platform","URL":"https://dl.acm.org/doi/10.1007/s10664-016-9480-2","author":[{"family":"LinDayi","given":""},{"family":"BezemerCor-Paul","given":""},{"family":"E","given":"HassanAhmed"}],"accessed":{"date-parts":[["2026",1,21]]},"issued":{"date-parts":[["2017",8,1]]}}}],"schema":"https://github.com/citation-style-language/schema/raw/master/csl-citation.json"} </w:instrText>
      </w:r>
      <w:r>
        <w:fldChar w:fldCharType="separate"/>
      </w:r>
      <w:r w:rsidRPr="00C23A2C">
        <w:rPr>
          <w:rFonts w:ascii="Cambria" w:hAnsi="Cambria"/>
        </w:rPr>
        <w:t>(LinDayi et al., 2017)</w:t>
      </w:r>
      <w:r>
        <w:fldChar w:fldCharType="end"/>
      </w:r>
      <w:r>
        <w:t xml:space="preserve">. </w:t>
      </w:r>
      <w:r w:rsidRPr="00CE5059">
        <w:t>The results of Zhang et al. show evidence that major updates act as exogenous shocks that measurably alter player activity. The work also suggests that patch effects are short-term but significant within a 4-week window, which aligns with our study's time window</w:t>
      </w:r>
      <w:r>
        <w:t xml:space="preserve"> </w:t>
      </w:r>
      <w:r>
        <w:fldChar w:fldCharType="begin"/>
      </w:r>
      <w:r>
        <w:instrText xml:space="preserve"> ADDIN ZOTERO_ITEM CSL_CITATION {"citationID":"ttlObr6k","properties":{"formattedCitation":"(Zhang &amp; Keegan, 2022)","plainCitation":"(Zhang &amp; Keegan, 2022)","noteIndex":0},"citationItems":[{"id":30,"uris":["http://zotero.org/users/local/2q4HgeCI/items/2WA9DI55"],"itemData":{"id":30,"type":"article","abstract":"Multiplayer online games are ideal settings for studying the effects of technological disruptions on social behavior. Software patches to online games cause significant changes to the game's rules and require players to develop new strategies to cope with these disruptions. We surveyed players, analyzed the content of software patch notes, and analyzed changes to the character selection behaviors in more than 53 million matches of Dota 2 in the days before and after software patches over a 30-month period. We found that the severity of patches is correlated with the magnitude of behavioral changes following a patch. We discuss the opportunities of leveraging software patches to online games as a valuable but overlooked empirical instrument for measuring behavioral dynamics.","DOI":"10.48550/arXiv.2207.02736","note":"arXiv:2207.02736 [cs]","number":"arXiv:2207.02736","publisher":"arXiv","source":"arXiv.org","title":"Characterizing disruptions in online gaming behavior following software patches","URL":"http://arxiv.org/abs/2207.02736","author":[{"family":"Zhang","given":"Xiaozhe \"Arcadia\""},{"family":"Keegan","given":"Brian C."}],"accessed":{"date-parts":[["2026",1,21]]},"issued":{"date-parts":[["2022",7,6]]}}}],"schema":"https://github.com/citation-style-language/schema/raw/master/csl-citation.json"} </w:instrText>
      </w:r>
      <w:r>
        <w:fldChar w:fldCharType="separate"/>
      </w:r>
      <w:r w:rsidRPr="009371B4">
        <w:rPr>
          <w:rFonts w:ascii="Cambria" w:hAnsi="Cambria"/>
        </w:rPr>
        <w:t>(Zhang &amp; Keegan, 2022)</w:t>
      </w:r>
      <w:r>
        <w:fldChar w:fldCharType="end"/>
      </w:r>
      <w:r>
        <w:t xml:space="preserve">. </w:t>
      </w:r>
      <w:r w:rsidRPr="002B26A3">
        <w:t>According to Hyeong et al., these shocks cannot be generalized because major updates do not uniformly increase engagement but rather act as differentiated shocks that affect player groups differently</w:t>
      </w:r>
      <w:r>
        <w:t xml:space="preserve"> </w:t>
      </w:r>
      <w:r>
        <w:fldChar w:fldCharType="begin"/>
      </w:r>
      <w:r>
        <w:instrText xml:space="preserve"> ADDIN ZOTERO_ITEM CSL_CITATION {"citationID":"AI3RJ8k4","properties":{"formattedCitation":"(Hyeong et al., 2020)","plainCitation":"(Hyeong et al., 2020)","noteIndex":0},"citationItems":[{"id":33,"uris":["http://zotero.org/users/local/2q4HgeCI/items/9SYSR9CY"],"itemData":{"id":33,"type":"article-journal","abstract":"In an online game, multiple players virtually play the game together and are ranked based on their in-game performance through competition. Online games update constantly and continuously (i.e., a modification in the game content after its release), changing the game every time. This research examines the effect that these game updates have on individual gameplay. We compared 9342 players' daily gameplay for a month before and after updates across eighteen updates over seven online games. There are two novel findings. First, middle-ranked players tend to play the game more than high and low-ranked players before an update. Second, contrary to the widespread notion that game updates trigger players to increase their gameplay, online game updates only increase the gameplay of high and low-ranked players. Conclusively, high and low-ranked players tend to play the game more than the middle-ranked players after an update.","container-title":"Decision Support Systems","DOI":"10.1016/j.dss.2020.113423","ISSN":"0167-9236","journalAbbreviation":"Decision Support Systems","page":"113423","source":"ScienceDirect","title":"For whom does a game update? Players' status-contingent gameplay on online games before and after an update","title-short":"For whom does a game update?","volume":"139","author":[{"family":"Hyeong","given":"Ji Hyeon"},{"family":"Choi","given":"Kang Jun"},{"family":"Lee","given":"Jae Young"},{"family":"Pyo","given":"Tae-Hyung"}],"issued":{"date-parts":[["2020",12,1]]}}}],"schema":"https://github.com/citation-style-language/schema/raw/master/csl-citation.json"} </w:instrText>
      </w:r>
      <w:r>
        <w:fldChar w:fldCharType="separate"/>
      </w:r>
      <w:r w:rsidRPr="00D604C6">
        <w:rPr>
          <w:rFonts w:ascii="Cambria" w:hAnsi="Cambria"/>
        </w:rPr>
        <w:t>(Hyeong et al., 2020)</w:t>
      </w:r>
      <w:r>
        <w:fldChar w:fldCharType="end"/>
      </w:r>
      <w:r>
        <w:t>.</w:t>
      </w:r>
    </w:p>
    <w:p w14:paraId="5704D038" w14:textId="77777777" w:rsidR="000E784F" w:rsidRDefault="000E784F" w:rsidP="000E784F">
      <w:r w:rsidRPr="005579CD">
        <w:t>This heterogeneity in player groups and effects resulting from major updates as shocks highlights the necessity of an empirical study examining the short-term dynamics of major updates in the most-played games on Steam within the chosen DiD framework.</w:t>
      </w:r>
    </w:p>
    <w:p w14:paraId="11BBC531" w14:textId="77777777" w:rsidR="000E784F" w:rsidRDefault="000E784F"/>
    <w:p w14:paraId="24CD7866" w14:textId="77777777" w:rsidR="00F21A35" w:rsidRDefault="00000000">
      <w:pPr>
        <w:pStyle w:val="berschrift1"/>
      </w:pPr>
      <w:bookmarkStart w:id="6" w:name="_Toc221461971"/>
      <w:r>
        <w:t>1. Data Sources and Sample Construction</w:t>
      </w:r>
      <w:bookmarkEnd w:id="6"/>
    </w:p>
    <w:p w14:paraId="79909CC5" w14:textId="77777777" w:rsidR="00F21A35" w:rsidRDefault="00000000">
      <w:pPr>
        <w:pStyle w:val="berschrift2"/>
      </w:pPr>
      <w:bookmarkStart w:id="7" w:name="_Toc221461972"/>
      <w:r>
        <w:t>1.1 Data Collection</w:t>
      </w:r>
      <w:bookmarkEnd w:id="7"/>
    </w:p>
    <w:p w14:paraId="3BDB28DA" w14:textId="77777777" w:rsidR="00F21A35" w:rsidRDefault="00000000">
      <w:r>
        <w:t>This study employs multiple data sources to construct a comprehensive panel dataset of Steam games. Our data collection process integrates information from three primary sources, each providing complementary information necessary for causal inference.</w:t>
      </w:r>
    </w:p>
    <w:p w14:paraId="61BB13A0" w14:textId="77777777" w:rsidR="00F21A35" w:rsidRDefault="00000000">
      <w:pPr>
        <w:pStyle w:val="berschrift3"/>
      </w:pPr>
      <w:bookmarkStart w:id="8" w:name="_Toc221461973"/>
      <w:r>
        <w:lastRenderedPageBreak/>
        <w:t>1.1.1 Primary Data Sources</w:t>
      </w:r>
      <w:bookmarkEnd w:id="8"/>
    </w:p>
    <w:p w14:paraId="60ECD88F" w14:textId="77777777" w:rsidR="00F21A35" w:rsidRDefault="00000000">
      <w:pPr>
        <w:pStyle w:val="Aufzhlungszeichen"/>
      </w:pPr>
      <w:r>
        <w:t>SteamCharts (steamcharts.com)</w:t>
      </w:r>
    </w:p>
    <w:p w14:paraId="793CD451" w14:textId="77777777" w:rsidR="00F21A35" w:rsidRDefault="00000000">
      <w:pPr>
        <w:pStyle w:val="Aufzhlungszeichen2"/>
      </w:pPr>
      <w:r>
        <w:rPr>
          <w:b/>
        </w:rPr>
        <w:t xml:space="preserve">Purpose: </w:t>
      </w:r>
      <w:r>
        <w:t>Historical player count data for all games in our sample</w:t>
      </w:r>
    </w:p>
    <w:p w14:paraId="2DAA169F" w14:textId="77777777" w:rsidR="00F21A35" w:rsidRDefault="00000000">
      <w:pPr>
        <w:pStyle w:val="Aufzhlungszeichen2"/>
      </w:pPr>
      <w:r>
        <w:rPr>
          <w:b/>
        </w:rPr>
        <w:t xml:space="preserve">Metric: </w:t>
      </w:r>
      <w:r>
        <w:t>Monthly and weekly average concurrent player counts</w:t>
      </w:r>
    </w:p>
    <w:p w14:paraId="71329A84" w14:textId="77777777" w:rsidR="00F21A35" w:rsidRDefault="00000000">
      <w:pPr>
        <w:pStyle w:val="Aufzhlungszeichen2"/>
      </w:pPr>
      <w:r>
        <w:rPr>
          <w:b/>
        </w:rPr>
        <w:t xml:space="preserve">Coverage: </w:t>
      </w:r>
      <w:r>
        <w:t>December 2024 through April 2025 for staggered analysis; February 2025 for single-cohort analysis</w:t>
      </w:r>
    </w:p>
    <w:p w14:paraId="3D5EA21B" w14:textId="77777777" w:rsidR="00F21A35" w:rsidRDefault="00000000">
      <w:pPr>
        <w:pStyle w:val="Aufzhlungszeichen"/>
      </w:pPr>
      <w:r>
        <w:t>Steam Store API</w:t>
      </w:r>
    </w:p>
    <w:p w14:paraId="727DABDD" w14:textId="77777777" w:rsidR="00F21A35" w:rsidRDefault="00000000">
      <w:pPr>
        <w:pStyle w:val="Aufzhlungszeichen2"/>
      </w:pPr>
      <w:r>
        <w:rPr>
          <w:b/>
        </w:rPr>
        <w:t xml:space="preserve">Purpose: </w:t>
      </w:r>
      <w:r>
        <w:t>Game metadata and characteristics</w:t>
      </w:r>
    </w:p>
    <w:p w14:paraId="5A37371E" w14:textId="77777777" w:rsidR="00F21A35" w:rsidRDefault="00000000">
      <w:pPr>
        <w:pStyle w:val="Aufzhlungszeichen2"/>
      </w:pPr>
      <w:r>
        <w:rPr>
          <w:b/>
        </w:rPr>
        <w:t xml:space="preserve">Variables: </w:t>
      </w:r>
      <w:r>
        <w:t>Genre classification, release dates, pricing information, free-to-play status</w:t>
      </w:r>
    </w:p>
    <w:p w14:paraId="134A613A" w14:textId="77777777" w:rsidR="00F21A35" w:rsidRDefault="00000000">
      <w:pPr>
        <w:pStyle w:val="Aufzhlungszeichen"/>
      </w:pPr>
      <w:r>
        <w:t>Steam Reviews API</w:t>
      </w:r>
    </w:p>
    <w:p w14:paraId="2780B40E" w14:textId="77777777" w:rsidR="00F21A35" w:rsidRDefault="00000000">
      <w:pPr>
        <w:pStyle w:val="Aufzhlungszeichen2"/>
      </w:pPr>
      <w:r>
        <w:rPr>
          <w:b/>
        </w:rPr>
        <w:t xml:space="preserve">Purpose: </w:t>
      </w:r>
      <w:r>
        <w:t>Review scores as quality control variable</w:t>
      </w:r>
    </w:p>
    <w:p w14:paraId="0F884997" w14:textId="77777777" w:rsidR="00F21A35" w:rsidRDefault="00000000">
      <w:pPr>
        <w:pStyle w:val="Aufzhlungszeichen2"/>
      </w:pPr>
      <w:r>
        <w:rPr>
          <w:b/>
        </w:rPr>
        <w:t xml:space="preserve">Metric: </w:t>
      </w:r>
      <w:r>
        <w:t>Overall review score (percentage of positive reviews, 0-100 scale)</w:t>
      </w:r>
    </w:p>
    <w:p w14:paraId="7A7BEAC9" w14:textId="77777777" w:rsidR="00F21A35" w:rsidRDefault="00000000">
      <w:pPr>
        <w:pStyle w:val="Aufzhlungszeichen"/>
      </w:pPr>
      <w:r>
        <w:t>SteamDB</w:t>
      </w:r>
    </w:p>
    <w:p w14:paraId="7EEB256A" w14:textId="77777777" w:rsidR="00F21A35" w:rsidRDefault="00000000">
      <w:pPr>
        <w:pStyle w:val="Aufzhlungszeichen2"/>
      </w:pPr>
      <w:r>
        <w:rPr>
          <w:b/>
        </w:rPr>
        <w:t xml:space="preserve">Purpose: </w:t>
      </w:r>
      <w:r>
        <w:t>Major patch identification and treatment timing</w:t>
      </w:r>
    </w:p>
    <w:p w14:paraId="1E075237" w14:textId="77777777" w:rsidR="00F21A35" w:rsidRDefault="00000000">
      <w:pPr>
        <w:pStyle w:val="Aufzhlungszeichen2"/>
      </w:pPr>
      <w:r>
        <w:rPr>
          <w:b/>
        </w:rPr>
        <w:t xml:space="preserve">Classification: </w:t>
      </w:r>
      <w:r>
        <w:t>Patches marked as "major" updates in SteamDB tracking system</w:t>
      </w:r>
    </w:p>
    <w:p w14:paraId="19E9C174" w14:textId="77777777" w:rsidR="00F21A35" w:rsidRDefault="00000000">
      <w:pPr>
        <w:pStyle w:val="berschrift2"/>
      </w:pPr>
      <w:bookmarkStart w:id="9" w:name="_Toc221461974"/>
      <w:r>
        <w:t>1.2 Sample Construction</w:t>
      </w:r>
      <w:bookmarkEnd w:id="9"/>
    </w:p>
    <w:p w14:paraId="37AF3ED5" w14:textId="77777777" w:rsidR="00F21A35" w:rsidRDefault="00000000">
      <w:r>
        <w:t>We implement two distinct difference-in-differences designs to ensure robustness of our findings. The primary analysis uses a staggered DiD design with multiple treatment cohorts, while the secondary analysis focuses on a single cohort in February 2025 as a robustness check.</w:t>
      </w:r>
    </w:p>
    <w:p w14:paraId="590A33FD" w14:textId="77777777" w:rsidR="00F21A35" w:rsidRDefault="00000000">
      <w:pPr>
        <w:pStyle w:val="berschrift3"/>
      </w:pPr>
      <w:bookmarkStart w:id="10" w:name="_Toc221461975"/>
      <w:r>
        <w:t>1.2.1 Staggered DiD Design (Primary Analysis)</w:t>
      </w:r>
      <w:bookmarkEnd w:id="10"/>
    </w:p>
    <w:p w14:paraId="77795D1B" w14:textId="77777777" w:rsidR="00F21A35" w:rsidRDefault="00000000">
      <w:r>
        <w:t>Our primary analysis employs a staggered difference-in-differences design with four treatment cohorts receiving major patches at different times during the observation period.</w:t>
      </w:r>
    </w:p>
    <w:p w14:paraId="05F5B9BE" w14:textId="77777777" w:rsidR="00F21A35" w:rsidRDefault="00000000">
      <w:pPr>
        <w:pStyle w:val="Beschriftung"/>
      </w:pPr>
      <w:r>
        <w:t>Table 1: Staggered DiD Sample Composition</w:t>
      </w:r>
    </w:p>
    <w:tbl>
      <w:tblPr>
        <w:tblStyle w:val="HellesRaster-Akzent1"/>
        <w:tblW w:w="0" w:type="auto"/>
        <w:tblLook w:val="04A0" w:firstRow="1" w:lastRow="0" w:firstColumn="1" w:lastColumn="0" w:noHBand="0" w:noVBand="1"/>
      </w:tblPr>
      <w:tblGrid>
        <w:gridCol w:w="2340"/>
        <w:gridCol w:w="2340"/>
        <w:gridCol w:w="2340"/>
        <w:gridCol w:w="2340"/>
      </w:tblGrid>
      <w:tr w:rsidR="00F21A35" w14:paraId="0AA41236"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E354E9" w14:textId="77777777" w:rsidR="00F21A35" w:rsidRDefault="00000000">
            <w:r>
              <w:t>Group</w:t>
            </w:r>
          </w:p>
        </w:tc>
        <w:tc>
          <w:tcPr>
            <w:tcW w:w="2340" w:type="dxa"/>
          </w:tcPr>
          <w:p w14:paraId="323D52E6" w14:textId="77777777" w:rsidR="00F21A35" w:rsidRDefault="00000000">
            <w:pPr>
              <w:cnfStyle w:val="100000000000" w:firstRow="1" w:lastRow="0" w:firstColumn="0" w:lastColumn="0" w:oddVBand="0" w:evenVBand="0" w:oddHBand="0" w:evenHBand="0" w:firstRowFirstColumn="0" w:firstRowLastColumn="0" w:lastRowFirstColumn="0" w:lastRowLastColumn="0"/>
            </w:pPr>
            <w:r>
              <w:t>Initial Sample</w:t>
            </w:r>
          </w:p>
        </w:tc>
        <w:tc>
          <w:tcPr>
            <w:tcW w:w="2340" w:type="dxa"/>
          </w:tcPr>
          <w:p w14:paraId="75A21CBD" w14:textId="77777777" w:rsidR="00F21A35" w:rsidRDefault="00000000">
            <w:pPr>
              <w:cnfStyle w:val="100000000000" w:firstRow="1" w:lastRow="0" w:firstColumn="0" w:lastColumn="0" w:oddVBand="0" w:evenVBand="0" w:oddHBand="0" w:evenHBand="0" w:firstRowFirstColumn="0" w:firstRowLastColumn="0" w:lastRowFirstColumn="0" w:lastRowLastColumn="0"/>
            </w:pPr>
            <w:r>
              <w:t>Final Sample</w:t>
            </w:r>
          </w:p>
        </w:tc>
        <w:tc>
          <w:tcPr>
            <w:tcW w:w="2340" w:type="dxa"/>
          </w:tcPr>
          <w:p w14:paraId="67358109" w14:textId="77777777" w:rsidR="00F21A35" w:rsidRDefault="00000000">
            <w:pPr>
              <w:cnfStyle w:val="100000000000" w:firstRow="1" w:lastRow="0" w:firstColumn="0" w:lastColumn="0" w:oddVBand="0" w:evenVBand="0" w:oddHBand="0" w:evenHBand="0" w:firstRowFirstColumn="0" w:firstRowLastColumn="0" w:lastRowFirstColumn="0" w:lastRowLastColumn="0"/>
            </w:pPr>
            <w:r>
              <w:t>Treatment Timing</w:t>
            </w:r>
          </w:p>
        </w:tc>
      </w:tr>
      <w:tr w:rsidR="00F21A35" w14:paraId="2D4AC04F"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5B5039" w14:textId="77777777" w:rsidR="00F21A35" w:rsidRDefault="00000000">
            <w:r>
              <w:t>January 2025 Cohort</w:t>
            </w:r>
          </w:p>
        </w:tc>
        <w:tc>
          <w:tcPr>
            <w:tcW w:w="2340" w:type="dxa"/>
          </w:tcPr>
          <w:p w14:paraId="712173CB"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2B6431D3"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3DD847E4" w14:textId="77777777" w:rsidR="00F21A35" w:rsidRDefault="00000000">
            <w:pPr>
              <w:cnfStyle w:val="000000100000" w:firstRow="0" w:lastRow="0" w:firstColumn="0" w:lastColumn="0" w:oddVBand="0" w:evenVBand="0" w:oddHBand="1" w:evenHBand="0" w:firstRowFirstColumn="0" w:firstRowLastColumn="0" w:lastRowFirstColumn="0" w:lastRowLastColumn="0"/>
            </w:pPr>
            <w:r>
              <w:t>January 15, 2025</w:t>
            </w:r>
          </w:p>
        </w:tc>
      </w:tr>
      <w:tr w:rsidR="00F21A35" w14:paraId="5376367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C05F4E" w14:textId="77777777" w:rsidR="00F21A35" w:rsidRDefault="00000000">
            <w:r>
              <w:t>February 2025 Cohort</w:t>
            </w:r>
          </w:p>
        </w:tc>
        <w:tc>
          <w:tcPr>
            <w:tcW w:w="2340" w:type="dxa"/>
          </w:tcPr>
          <w:p w14:paraId="1A150D8D" w14:textId="77777777" w:rsidR="00F21A35" w:rsidRDefault="00000000">
            <w:pPr>
              <w:cnfStyle w:val="000000010000" w:firstRow="0" w:lastRow="0" w:firstColumn="0" w:lastColumn="0" w:oddVBand="0" w:evenVBand="0" w:oddHBand="0" w:evenHBand="1" w:firstRowFirstColumn="0" w:firstRowLastColumn="0" w:lastRowFirstColumn="0" w:lastRowLastColumn="0"/>
            </w:pPr>
            <w:r>
              <w:t>100 games</w:t>
            </w:r>
          </w:p>
        </w:tc>
        <w:tc>
          <w:tcPr>
            <w:tcW w:w="2340" w:type="dxa"/>
          </w:tcPr>
          <w:p w14:paraId="34B5A860" w14:textId="77777777" w:rsidR="00F21A35" w:rsidRDefault="00000000">
            <w:pPr>
              <w:cnfStyle w:val="000000010000" w:firstRow="0" w:lastRow="0" w:firstColumn="0" w:lastColumn="0" w:oddVBand="0" w:evenVBand="0" w:oddHBand="0" w:evenHBand="1" w:firstRowFirstColumn="0" w:firstRowLastColumn="0" w:lastRowFirstColumn="0" w:lastRowLastColumn="0"/>
            </w:pPr>
            <w:r>
              <w:t>80 games</w:t>
            </w:r>
          </w:p>
        </w:tc>
        <w:tc>
          <w:tcPr>
            <w:tcW w:w="2340" w:type="dxa"/>
          </w:tcPr>
          <w:p w14:paraId="38092FA9" w14:textId="77777777" w:rsidR="00F21A35" w:rsidRDefault="00000000">
            <w:pPr>
              <w:cnfStyle w:val="000000010000" w:firstRow="0" w:lastRow="0" w:firstColumn="0" w:lastColumn="0" w:oddVBand="0" w:evenVBand="0" w:oddHBand="0" w:evenHBand="1" w:firstRowFirstColumn="0" w:firstRowLastColumn="0" w:lastRowFirstColumn="0" w:lastRowLastColumn="0"/>
            </w:pPr>
            <w:r>
              <w:t>February 15, 2025</w:t>
            </w:r>
          </w:p>
        </w:tc>
      </w:tr>
      <w:tr w:rsidR="00F21A35" w14:paraId="0821ECC2"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156047" w14:textId="77777777" w:rsidR="00F21A35" w:rsidRDefault="00000000">
            <w:r>
              <w:t>March 2025 Cohort</w:t>
            </w:r>
          </w:p>
        </w:tc>
        <w:tc>
          <w:tcPr>
            <w:tcW w:w="2340" w:type="dxa"/>
          </w:tcPr>
          <w:p w14:paraId="441B8232"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6E5EA27C"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3F8C6595" w14:textId="77777777" w:rsidR="00F21A35" w:rsidRDefault="00000000">
            <w:pPr>
              <w:cnfStyle w:val="000000100000" w:firstRow="0" w:lastRow="0" w:firstColumn="0" w:lastColumn="0" w:oddVBand="0" w:evenVBand="0" w:oddHBand="1" w:evenHBand="0" w:firstRowFirstColumn="0" w:firstRowLastColumn="0" w:lastRowFirstColumn="0" w:lastRowLastColumn="0"/>
            </w:pPr>
            <w:r>
              <w:t>March 15, 2025</w:t>
            </w:r>
          </w:p>
        </w:tc>
      </w:tr>
      <w:tr w:rsidR="00F21A35" w14:paraId="52859762"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8489F9" w14:textId="77777777" w:rsidR="00F21A35" w:rsidRDefault="00000000">
            <w:r>
              <w:t>April 2025 Cohort</w:t>
            </w:r>
          </w:p>
        </w:tc>
        <w:tc>
          <w:tcPr>
            <w:tcW w:w="2340" w:type="dxa"/>
          </w:tcPr>
          <w:p w14:paraId="2FADD17A" w14:textId="77777777" w:rsidR="00F21A35" w:rsidRDefault="00000000">
            <w:pPr>
              <w:cnfStyle w:val="000000010000" w:firstRow="0" w:lastRow="0" w:firstColumn="0" w:lastColumn="0" w:oddVBand="0" w:evenVBand="0" w:oddHBand="0" w:evenHBand="1" w:firstRowFirstColumn="0" w:firstRowLastColumn="0" w:lastRowFirstColumn="0" w:lastRowLastColumn="0"/>
            </w:pPr>
            <w:r>
              <w:t>100 games</w:t>
            </w:r>
          </w:p>
        </w:tc>
        <w:tc>
          <w:tcPr>
            <w:tcW w:w="2340" w:type="dxa"/>
          </w:tcPr>
          <w:p w14:paraId="3A49FBC1" w14:textId="77777777" w:rsidR="00F21A35" w:rsidRDefault="00000000">
            <w:pPr>
              <w:cnfStyle w:val="000000010000" w:firstRow="0" w:lastRow="0" w:firstColumn="0" w:lastColumn="0" w:oddVBand="0" w:evenVBand="0" w:oddHBand="0" w:evenHBand="1" w:firstRowFirstColumn="0" w:firstRowLastColumn="0" w:lastRowFirstColumn="0" w:lastRowLastColumn="0"/>
            </w:pPr>
            <w:r>
              <w:t>80 games</w:t>
            </w:r>
          </w:p>
        </w:tc>
        <w:tc>
          <w:tcPr>
            <w:tcW w:w="2340" w:type="dxa"/>
          </w:tcPr>
          <w:p w14:paraId="434BEB10" w14:textId="77777777" w:rsidR="00F21A35" w:rsidRDefault="00000000">
            <w:pPr>
              <w:cnfStyle w:val="000000010000" w:firstRow="0" w:lastRow="0" w:firstColumn="0" w:lastColumn="0" w:oddVBand="0" w:evenVBand="0" w:oddHBand="0" w:evenHBand="1" w:firstRowFirstColumn="0" w:firstRowLastColumn="0" w:lastRowFirstColumn="0" w:lastRowLastColumn="0"/>
            </w:pPr>
            <w:r>
              <w:t>April 15, 2025</w:t>
            </w:r>
          </w:p>
        </w:tc>
      </w:tr>
      <w:tr w:rsidR="00F21A35" w14:paraId="31551FB0"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0D6AE2" w14:textId="77777777" w:rsidR="00F21A35" w:rsidRDefault="00000000">
            <w:r>
              <w:t>Control Group</w:t>
            </w:r>
          </w:p>
        </w:tc>
        <w:tc>
          <w:tcPr>
            <w:tcW w:w="2340" w:type="dxa"/>
          </w:tcPr>
          <w:p w14:paraId="1FCA499A"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2E766932"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0FAE6B40" w14:textId="77777777" w:rsidR="00F21A35" w:rsidRDefault="00000000">
            <w:pPr>
              <w:cnfStyle w:val="000000100000" w:firstRow="0" w:lastRow="0" w:firstColumn="0" w:lastColumn="0" w:oddVBand="0" w:evenVBand="0" w:oddHBand="1" w:evenHBand="0" w:firstRowFirstColumn="0" w:firstRowLastColumn="0" w:lastRowFirstColumn="0" w:lastRowLastColumn="0"/>
            </w:pPr>
            <w:r>
              <w:t>No treatment</w:t>
            </w:r>
          </w:p>
        </w:tc>
      </w:tr>
      <w:tr w:rsidR="00F21A35" w14:paraId="44C2E87A"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AD6793" w14:textId="77777777" w:rsidR="00F21A35" w:rsidRDefault="00000000">
            <w:r>
              <w:t>Total</w:t>
            </w:r>
          </w:p>
        </w:tc>
        <w:tc>
          <w:tcPr>
            <w:tcW w:w="2340" w:type="dxa"/>
          </w:tcPr>
          <w:p w14:paraId="7C6B3490" w14:textId="77777777" w:rsidR="00F21A35" w:rsidRDefault="00000000">
            <w:pPr>
              <w:cnfStyle w:val="000000010000" w:firstRow="0" w:lastRow="0" w:firstColumn="0" w:lastColumn="0" w:oddVBand="0" w:evenVBand="0" w:oddHBand="0" w:evenHBand="1" w:firstRowFirstColumn="0" w:firstRowLastColumn="0" w:lastRowFirstColumn="0" w:lastRowLastColumn="0"/>
            </w:pPr>
            <w:r>
              <w:t>500 games</w:t>
            </w:r>
          </w:p>
        </w:tc>
        <w:tc>
          <w:tcPr>
            <w:tcW w:w="2340" w:type="dxa"/>
          </w:tcPr>
          <w:p w14:paraId="37CC6110" w14:textId="77777777" w:rsidR="00F21A35" w:rsidRDefault="00000000">
            <w:pPr>
              <w:cnfStyle w:val="000000010000" w:firstRow="0" w:lastRow="0" w:firstColumn="0" w:lastColumn="0" w:oddVBand="0" w:evenVBand="0" w:oddHBand="0" w:evenHBand="1" w:firstRowFirstColumn="0" w:firstRowLastColumn="0" w:lastRowFirstColumn="0" w:lastRowLastColumn="0"/>
            </w:pPr>
            <w:r>
              <w:t>320 games</w:t>
            </w:r>
          </w:p>
        </w:tc>
        <w:tc>
          <w:tcPr>
            <w:tcW w:w="2340" w:type="dxa"/>
          </w:tcPr>
          <w:p w14:paraId="36B47A41" w14:textId="77777777" w:rsidR="00F21A35" w:rsidRDefault="00000000">
            <w:pPr>
              <w:cnfStyle w:val="000000010000" w:firstRow="0" w:lastRow="0" w:firstColumn="0" w:lastColumn="0" w:oddVBand="0" w:evenVBand="0" w:oddHBand="0" w:evenHBand="1" w:firstRowFirstColumn="0" w:firstRowLastColumn="0" w:lastRowFirstColumn="0" w:lastRowLastColumn="0"/>
            </w:pPr>
            <w:r>
              <w:t>—</w:t>
            </w:r>
          </w:p>
        </w:tc>
      </w:tr>
    </w:tbl>
    <w:p w14:paraId="045D7A7F" w14:textId="77777777" w:rsidR="00F21A35" w:rsidRDefault="00F21A35"/>
    <w:p w14:paraId="11311C60" w14:textId="77777777" w:rsidR="00F21A35" w:rsidRDefault="00000000">
      <w:r>
        <w:rPr>
          <w:b/>
        </w:rPr>
        <w:t xml:space="preserve">Time Period: </w:t>
      </w:r>
      <w:r>
        <w:t>5 months (December 2024 - April 2025)</w:t>
      </w:r>
    </w:p>
    <w:p w14:paraId="241A583B" w14:textId="77777777" w:rsidR="00F21A35" w:rsidRDefault="00000000">
      <w:r>
        <w:rPr>
          <w:b/>
        </w:rPr>
        <w:t xml:space="preserve">Total Observations: </w:t>
      </w:r>
      <w:r>
        <w:t>1,600 game-month observations (320 games × 5 months)</w:t>
      </w:r>
    </w:p>
    <w:p w14:paraId="21B7A29B" w14:textId="77777777" w:rsidR="00F21A35" w:rsidRDefault="00000000">
      <w:r>
        <w:rPr>
          <w:b/>
        </w:rPr>
        <w:lastRenderedPageBreak/>
        <w:t xml:space="preserve">Data Retention: </w:t>
      </w:r>
      <w:r>
        <w:t>64% of initial sample retained after excluding games with missing or incomplete SteamCharts data</w:t>
      </w:r>
    </w:p>
    <w:p w14:paraId="1CE5DF9D" w14:textId="77777777" w:rsidR="00F21A35" w:rsidRDefault="00000000">
      <w:pPr>
        <w:pStyle w:val="berschrift3"/>
      </w:pPr>
      <w:bookmarkStart w:id="11" w:name="_Toc221461976"/>
      <w:r>
        <w:t>1.2.2 February 2025 Single-Cohort Design (Robustness)</w:t>
      </w:r>
      <w:bookmarkEnd w:id="11"/>
    </w:p>
    <w:p w14:paraId="39C05291" w14:textId="77777777" w:rsidR="00F21A35" w:rsidRDefault="00000000">
      <w:r>
        <w:t>To validate our findings with a different time granularity and sample composition, we conduct a robustness check focusing exclusively on the February 2025 treatment cohort with weekly observations.</w:t>
      </w:r>
    </w:p>
    <w:p w14:paraId="222C57EC" w14:textId="77777777" w:rsidR="00F21A35" w:rsidRDefault="00000000">
      <w:r>
        <w:rPr>
          <w:b/>
        </w:rPr>
        <w:t xml:space="preserve">Treatment Group: </w:t>
      </w:r>
      <w:r>
        <w:t>145 games receiving major patches on February 15, 2025</w:t>
      </w:r>
    </w:p>
    <w:p w14:paraId="1A35CB02" w14:textId="77777777" w:rsidR="00F21A35" w:rsidRDefault="00000000">
      <w:r>
        <w:rPr>
          <w:b/>
        </w:rPr>
        <w:t xml:space="preserve">Time Period: </w:t>
      </w:r>
      <w:r>
        <w:t>4 weeks (February 1-28, 2025)</w:t>
      </w:r>
    </w:p>
    <w:p w14:paraId="1CB9D023" w14:textId="77777777" w:rsidR="00F21A35" w:rsidRDefault="00000000">
      <w:r>
        <w:rPr>
          <w:b/>
        </w:rPr>
        <w:t xml:space="preserve">Total Observations: </w:t>
      </w:r>
      <w:r>
        <w:t>596 game-week observations (145 games × 4 weeks, accounting for some missing data)</w:t>
      </w:r>
    </w:p>
    <w:p w14:paraId="1F72A256" w14:textId="77777777" w:rsidR="00F21A35" w:rsidRDefault="00000000">
      <w:r>
        <w:rPr>
          <w:b/>
        </w:rPr>
        <w:t xml:space="preserve">Pre-treatment Period: </w:t>
      </w:r>
      <w:r>
        <w:t>Weeks 1-2 (February 1-14)</w:t>
      </w:r>
    </w:p>
    <w:p w14:paraId="0BCA8BFF" w14:textId="77777777" w:rsidR="00F21A35" w:rsidRDefault="00000000">
      <w:r>
        <w:rPr>
          <w:b/>
        </w:rPr>
        <w:t xml:space="preserve">Post-treatment Period: </w:t>
      </w:r>
      <w:r>
        <w:t>Weeks 3-4 (February 15-28)</w:t>
      </w:r>
    </w:p>
    <w:p w14:paraId="74696570" w14:textId="77777777" w:rsidR="00F21A35" w:rsidRDefault="00000000">
      <w:pPr>
        <w:pStyle w:val="berschrift2"/>
      </w:pPr>
      <w:bookmarkStart w:id="12" w:name="_Toc221461977"/>
      <w:r>
        <w:t>1.3 Variable Construction</w:t>
      </w:r>
      <w:bookmarkEnd w:id="12"/>
    </w:p>
    <w:p w14:paraId="0A65758C" w14:textId="77777777" w:rsidR="00F21A35" w:rsidRDefault="00000000">
      <w:pPr>
        <w:pStyle w:val="berschrift3"/>
      </w:pPr>
      <w:bookmarkStart w:id="13" w:name="_Toc221461978"/>
      <w:r>
        <w:t>1.3.1 Dependent Variable</w:t>
      </w:r>
      <w:bookmarkEnd w:id="13"/>
    </w:p>
    <w:p w14:paraId="715B3913" w14:textId="77777777" w:rsidR="00F21A35" w:rsidRDefault="00000000">
      <w:r>
        <w:t>Our primary outcome variable is the natural logarithm of average concurrent players. This transformation serves two purposes: (1) it addresses the right-skewed distribution of player counts, and (2) it allows for interpretation of regression coefficients as approximate percentage changes.</w:t>
      </w:r>
    </w:p>
    <w:p w14:paraId="53A9771A" w14:textId="77777777" w:rsidR="00F21A35" w:rsidRDefault="00000000">
      <w:r>
        <w:rPr>
          <w:i/>
        </w:rPr>
        <w:t>ln_players = ln(average_concurrent_players)</w:t>
      </w:r>
    </w:p>
    <w:p w14:paraId="274AFB2F" w14:textId="77777777" w:rsidR="00F21A35" w:rsidRDefault="00000000">
      <w:pPr>
        <w:pStyle w:val="berschrift3"/>
      </w:pPr>
      <w:bookmarkStart w:id="14" w:name="_Toc221461979"/>
      <w:r>
        <w:t>1.3.2 Treatment Variables</w:t>
      </w:r>
      <w:bookmarkEnd w:id="14"/>
    </w:p>
    <w:p w14:paraId="029312A5" w14:textId="77777777" w:rsidR="00F21A35" w:rsidRDefault="00000000">
      <w:pPr>
        <w:pStyle w:val="Aufzhlungszeichen"/>
      </w:pPr>
      <w:r>
        <w:t>treated: Binary indicator (1 = treatment group, 0 = control group)</w:t>
      </w:r>
    </w:p>
    <w:p w14:paraId="5F3EEBE0" w14:textId="77777777" w:rsidR="00F21A35" w:rsidRDefault="00000000">
      <w:pPr>
        <w:pStyle w:val="Aufzhlungszeichen"/>
      </w:pPr>
      <w:r>
        <w:t>post: Binary indicator (1 = post-treatment period, 0 = pre-treatment period)</w:t>
      </w:r>
    </w:p>
    <w:p w14:paraId="0BEBE977" w14:textId="77777777" w:rsidR="00F21A35" w:rsidRDefault="00000000">
      <w:pPr>
        <w:pStyle w:val="Aufzhlungszeichen"/>
      </w:pPr>
      <w:r>
        <w:t>did: Interaction term (treated × post) capturing the treatment effect</w:t>
      </w:r>
    </w:p>
    <w:p w14:paraId="746832B9" w14:textId="77777777" w:rsidR="00F21A35" w:rsidRDefault="00000000">
      <w:r>
        <w:t>For the staggered design, the 'post' variable is cohort-specific, switching from 0 to 1 at each cohort's treatment date.</w:t>
      </w:r>
    </w:p>
    <w:p w14:paraId="5C6EE1C2" w14:textId="77777777" w:rsidR="00F21A35" w:rsidRDefault="00000000">
      <w:pPr>
        <w:pStyle w:val="berschrift3"/>
      </w:pPr>
      <w:bookmarkStart w:id="15" w:name="_Toc221461980"/>
      <w:r>
        <w:t>1.3.3 Control Variables</w:t>
      </w:r>
      <w:bookmarkEnd w:id="15"/>
    </w:p>
    <w:p w14:paraId="24D7C7BD" w14:textId="77777777" w:rsidR="00F21A35" w:rsidRDefault="00000000">
      <w:pPr>
        <w:pStyle w:val="Beschriftung"/>
      </w:pPr>
      <w:r>
        <w:t>Table 2: Control Variables Summary Statistics</w:t>
      </w:r>
    </w:p>
    <w:tbl>
      <w:tblPr>
        <w:tblStyle w:val="HellesRaster-Akzent1"/>
        <w:tblW w:w="0" w:type="auto"/>
        <w:tblLook w:val="04A0" w:firstRow="1" w:lastRow="0" w:firstColumn="1" w:lastColumn="0" w:noHBand="0" w:noVBand="1"/>
      </w:tblPr>
      <w:tblGrid>
        <w:gridCol w:w="2340"/>
        <w:gridCol w:w="2340"/>
        <w:gridCol w:w="2340"/>
        <w:gridCol w:w="2340"/>
      </w:tblGrid>
      <w:tr w:rsidR="00F21A35" w14:paraId="51974D02"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166598" w14:textId="77777777" w:rsidR="00F21A35" w:rsidRDefault="00000000">
            <w:r>
              <w:t>Variable</w:t>
            </w:r>
          </w:p>
        </w:tc>
        <w:tc>
          <w:tcPr>
            <w:tcW w:w="2340" w:type="dxa"/>
          </w:tcPr>
          <w:p w14:paraId="47443A15" w14:textId="77777777" w:rsidR="00F21A35" w:rsidRDefault="00000000">
            <w:pPr>
              <w:cnfStyle w:val="100000000000" w:firstRow="1" w:lastRow="0" w:firstColumn="0" w:lastColumn="0" w:oddVBand="0" w:evenVBand="0" w:oddHBand="0" w:evenHBand="0" w:firstRowFirstColumn="0" w:firstRowLastColumn="0" w:lastRowFirstColumn="0" w:lastRowLastColumn="0"/>
            </w:pPr>
            <w:r>
              <w:t>Type</w:t>
            </w:r>
          </w:p>
        </w:tc>
        <w:tc>
          <w:tcPr>
            <w:tcW w:w="2340" w:type="dxa"/>
          </w:tcPr>
          <w:p w14:paraId="1F750482" w14:textId="77777777" w:rsidR="00F21A35"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340" w:type="dxa"/>
          </w:tcPr>
          <w:p w14:paraId="673AB0A3" w14:textId="77777777" w:rsidR="00F21A35" w:rsidRDefault="00000000">
            <w:pPr>
              <w:cnfStyle w:val="100000000000" w:firstRow="1" w:lastRow="0" w:firstColumn="0" w:lastColumn="0" w:oddVBand="0" w:evenVBand="0" w:oddHBand="0" w:evenHBand="0" w:firstRowFirstColumn="0" w:firstRowLastColumn="0" w:lastRowFirstColumn="0" w:lastRowLastColumn="0"/>
            </w:pPr>
            <w:r>
              <w:t>Mean (SD)</w:t>
            </w:r>
          </w:p>
        </w:tc>
      </w:tr>
      <w:tr w:rsidR="00F21A35" w14:paraId="4956C88D"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721FDE" w14:textId="77777777" w:rsidR="00F21A35" w:rsidRDefault="00000000">
            <w:r>
              <w:t>genre_category</w:t>
            </w:r>
          </w:p>
        </w:tc>
        <w:tc>
          <w:tcPr>
            <w:tcW w:w="2340" w:type="dxa"/>
          </w:tcPr>
          <w:p w14:paraId="193D4ED5" w14:textId="77777777" w:rsidR="00F21A35"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340" w:type="dxa"/>
          </w:tcPr>
          <w:p w14:paraId="60060A48" w14:textId="77777777" w:rsidR="00F21A35" w:rsidRDefault="00000000">
            <w:pPr>
              <w:cnfStyle w:val="000000100000" w:firstRow="0" w:lastRow="0" w:firstColumn="0" w:lastColumn="0" w:oddVBand="0" w:evenVBand="0" w:oddHBand="1" w:evenHBand="0" w:firstRowFirstColumn="0" w:firstRowLastColumn="0" w:lastRowFirstColumn="0" w:lastRowLastColumn="0"/>
            </w:pPr>
            <w:r>
              <w:t>7 levels: Action, Adventure, RPG, Strategy, Simulation, Sports, Other</w:t>
            </w:r>
          </w:p>
        </w:tc>
        <w:tc>
          <w:tcPr>
            <w:tcW w:w="2340" w:type="dxa"/>
          </w:tcPr>
          <w:p w14:paraId="62C5623E" w14:textId="77777777" w:rsidR="00F21A35" w:rsidRDefault="00000000">
            <w:pPr>
              <w:cnfStyle w:val="000000100000" w:firstRow="0" w:lastRow="0" w:firstColumn="0" w:lastColumn="0" w:oddVBand="0" w:evenVBand="0" w:oddHBand="1" w:evenHBand="0" w:firstRowFirstColumn="0" w:firstRowLastColumn="0" w:lastRowFirstColumn="0" w:lastRowLastColumn="0"/>
            </w:pPr>
            <w:r>
              <w:t>—</w:t>
            </w:r>
          </w:p>
        </w:tc>
      </w:tr>
      <w:tr w:rsidR="00F21A35" w14:paraId="6D000860"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58B5DF" w14:textId="77777777" w:rsidR="00F21A35" w:rsidRDefault="00000000">
            <w:r>
              <w:t>age_years</w:t>
            </w:r>
          </w:p>
        </w:tc>
        <w:tc>
          <w:tcPr>
            <w:tcW w:w="2340" w:type="dxa"/>
          </w:tcPr>
          <w:p w14:paraId="6345EE06" w14:textId="77777777" w:rsidR="00F21A35" w:rsidRDefault="00000000">
            <w:pPr>
              <w:cnfStyle w:val="000000010000" w:firstRow="0" w:lastRow="0" w:firstColumn="0" w:lastColumn="0" w:oddVBand="0" w:evenVBand="0" w:oddHBand="0" w:evenHBand="1" w:firstRowFirstColumn="0" w:firstRowLastColumn="0" w:lastRowFirstColumn="0" w:lastRowLastColumn="0"/>
            </w:pPr>
            <w:r>
              <w:t>Continuous</w:t>
            </w:r>
          </w:p>
        </w:tc>
        <w:tc>
          <w:tcPr>
            <w:tcW w:w="2340" w:type="dxa"/>
          </w:tcPr>
          <w:p w14:paraId="0CC936FF" w14:textId="77777777" w:rsidR="00F21A35" w:rsidRDefault="00000000">
            <w:pPr>
              <w:cnfStyle w:val="000000010000" w:firstRow="0" w:lastRow="0" w:firstColumn="0" w:lastColumn="0" w:oddVBand="0" w:evenVBand="0" w:oddHBand="0" w:evenHBand="1" w:firstRowFirstColumn="0" w:firstRowLastColumn="0" w:lastRowFirstColumn="0" w:lastRowLastColumn="0"/>
            </w:pPr>
            <w:r>
              <w:t>Years since game release date</w:t>
            </w:r>
          </w:p>
        </w:tc>
        <w:tc>
          <w:tcPr>
            <w:tcW w:w="2340" w:type="dxa"/>
          </w:tcPr>
          <w:p w14:paraId="1E4F8DCF" w14:textId="77777777" w:rsidR="00F21A35" w:rsidRDefault="00000000">
            <w:pPr>
              <w:cnfStyle w:val="000000010000" w:firstRow="0" w:lastRow="0" w:firstColumn="0" w:lastColumn="0" w:oddVBand="0" w:evenVBand="0" w:oddHBand="0" w:evenHBand="1" w:firstRowFirstColumn="0" w:firstRowLastColumn="0" w:lastRowFirstColumn="0" w:lastRowLastColumn="0"/>
            </w:pPr>
            <w:r>
              <w:t>4.53 (3.54)</w:t>
            </w:r>
          </w:p>
        </w:tc>
      </w:tr>
      <w:tr w:rsidR="00F21A35" w14:paraId="20B53F05"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4E4456" w14:textId="77777777" w:rsidR="00F21A35" w:rsidRDefault="00000000">
            <w:r>
              <w:t>price_usd</w:t>
            </w:r>
          </w:p>
        </w:tc>
        <w:tc>
          <w:tcPr>
            <w:tcW w:w="2340" w:type="dxa"/>
          </w:tcPr>
          <w:p w14:paraId="16A05BA8" w14:textId="77777777" w:rsidR="00F21A35" w:rsidRDefault="00000000">
            <w:pPr>
              <w:cnfStyle w:val="000000100000" w:firstRow="0" w:lastRow="0" w:firstColumn="0" w:lastColumn="0" w:oddVBand="0" w:evenVBand="0" w:oddHBand="1" w:evenHBand="0" w:firstRowFirstColumn="0" w:firstRowLastColumn="0" w:lastRowFirstColumn="0" w:lastRowLastColumn="0"/>
            </w:pPr>
            <w:r>
              <w:t>Continuous</w:t>
            </w:r>
          </w:p>
        </w:tc>
        <w:tc>
          <w:tcPr>
            <w:tcW w:w="2340" w:type="dxa"/>
          </w:tcPr>
          <w:p w14:paraId="20E8E94A" w14:textId="77777777" w:rsidR="00F21A35" w:rsidRDefault="00000000">
            <w:pPr>
              <w:cnfStyle w:val="000000100000" w:firstRow="0" w:lastRow="0" w:firstColumn="0" w:lastColumn="0" w:oddVBand="0" w:evenVBand="0" w:oddHBand="1" w:evenHBand="0" w:firstRowFirstColumn="0" w:firstRowLastColumn="0" w:lastRowFirstColumn="0" w:lastRowLastColumn="0"/>
            </w:pPr>
            <w:r>
              <w:t xml:space="preserve">Current price in US </w:t>
            </w:r>
            <w:r>
              <w:lastRenderedPageBreak/>
              <w:t>dollars</w:t>
            </w:r>
          </w:p>
        </w:tc>
        <w:tc>
          <w:tcPr>
            <w:tcW w:w="2340" w:type="dxa"/>
          </w:tcPr>
          <w:p w14:paraId="224A8AA2" w14:textId="77777777" w:rsidR="00F21A35" w:rsidRDefault="00000000">
            <w:pPr>
              <w:cnfStyle w:val="000000100000" w:firstRow="0" w:lastRow="0" w:firstColumn="0" w:lastColumn="0" w:oddVBand="0" w:evenVBand="0" w:oddHBand="1" w:evenHBand="0" w:firstRowFirstColumn="0" w:firstRowLastColumn="0" w:lastRowFirstColumn="0" w:lastRowLastColumn="0"/>
            </w:pPr>
            <w:r>
              <w:lastRenderedPageBreak/>
              <w:t>$14.23 ($21.45)</w:t>
            </w:r>
          </w:p>
        </w:tc>
      </w:tr>
      <w:tr w:rsidR="00F21A35" w14:paraId="2BE2C053"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3F784F" w14:textId="77777777" w:rsidR="00F21A35" w:rsidRDefault="00000000">
            <w:r>
              <w:t>review_score</w:t>
            </w:r>
          </w:p>
        </w:tc>
        <w:tc>
          <w:tcPr>
            <w:tcW w:w="2340" w:type="dxa"/>
          </w:tcPr>
          <w:p w14:paraId="71F75234" w14:textId="77777777" w:rsidR="00F21A35" w:rsidRDefault="00000000">
            <w:pPr>
              <w:cnfStyle w:val="000000010000" w:firstRow="0" w:lastRow="0" w:firstColumn="0" w:lastColumn="0" w:oddVBand="0" w:evenVBand="0" w:oddHBand="0" w:evenHBand="1" w:firstRowFirstColumn="0" w:firstRowLastColumn="0" w:lastRowFirstColumn="0" w:lastRowLastColumn="0"/>
            </w:pPr>
            <w:r>
              <w:t>Continuous</w:t>
            </w:r>
          </w:p>
        </w:tc>
        <w:tc>
          <w:tcPr>
            <w:tcW w:w="2340" w:type="dxa"/>
          </w:tcPr>
          <w:p w14:paraId="3819771F" w14:textId="77777777" w:rsidR="00F21A35" w:rsidRDefault="00000000">
            <w:pPr>
              <w:cnfStyle w:val="000000010000" w:firstRow="0" w:lastRow="0" w:firstColumn="0" w:lastColumn="0" w:oddVBand="0" w:evenVBand="0" w:oddHBand="0" w:evenHBand="1" w:firstRowFirstColumn="0" w:firstRowLastColumn="0" w:lastRowFirstColumn="0" w:lastRowLastColumn="0"/>
            </w:pPr>
            <w:r>
              <w:t>Positive review percentage (0-100)</w:t>
            </w:r>
          </w:p>
        </w:tc>
        <w:tc>
          <w:tcPr>
            <w:tcW w:w="2340" w:type="dxa"/>
          </w:tcPr>
          <w:p w14:paraId="43FBBF32" w14:textId="77777777" w:rsidR="00F21A35" w:rsidRDefault="00000000">
            <w:pPr>
              <w:cnfStyle w:val="000000010000" w:firstRow="0" w:lastRow="0" w:firstColumn="0" w:lastColumn="0" w:oddVBand="0" w:evenVBand="0" w:oddHBand="0" w:evenHBand="1" w:firstRowFirstColumn="0" w:firstRowLastColumn="0" w:lastRowFirstColumn="0" w:lastRowLastColumn="0"/>
            </w:pPr>
            <w:r>
              <w:t>78.5 (12.3)</w:t>
            </w:r>
          </w:p>
        </w:tc>
      </w:tr>
    </w:tbl>
    <w:p w14:paraId="34F8FDDB" w14:textId="77777777" w:rsidR="00F21A35" w:rsidRDefault="00F21A35"/>
    <w:p w14:paraId="4F2F7BE5" w14:textId="77777777" w:rsidR="00F21A35" w:rsidRDefault="00000000">
      <w:pPr>
        <w:pStyle w:val="berschrift3"/>
      </w:pPr>
      <w:bookmarkStart w:id="16" w:name="_Toc221461981"/>
      <w:r>
        <w:t>1.3.4 Fixed Effects</w:t>
      </w:r>
      <w:bookmarkEnd w:id="16"/>
    </w:p>
    <w:p w14:paraId="6BB0E904" w14:textId="77777777" w:rsidR="00F21A35" w:rsidRDefault="00000000">
      <w:pPr>
        <w:pStyle w:val="Aufzhlungszeichen"/>
      </w:pPr>
      <w:r>
        <w:t>Game Fixed Effects (αᵢ): Controls for all time-invariant game characteristics (320 games in staggered design, 145 in February design)</w:t>
      </w:r>
    </w:p>
    <w:p w14:paraId="7CE81CB6" w14:textId="77777777" w:rsidR="00F21A35" w:rsidRDefault="00000000">
      <w:pPr>
        <w:pStyle w:val="Aufzhlungszeichen"/>
      </w:pPr>
      <w:r>
        <w:t>Time Fixed Effects (λₜ): Controls for aggregate time shocks affecting all games (5 months in staggered design, 4 weeks in February design)</w:t>
      </w:r>
    </w:p>
    <w:p w14:paraId="6FA25F6F" w14:textId="77777777" w:rsidR="00F21A35" w:rsidRDefault="00000000">
      <w:pPr>
        <w:pStyle w:val="berschrift2"/>
      </w:pPr>
      <w:bookmarkStart w:id="17" w:name="_Toc221461982"/>
      <w:r>
        <w:t>1.4 Data Quality Verification</w:t>
      </w:r>
      <w:bookmarkEnd w:id="17"/>
    </w:p>
    <w:p w14:paraId="43342620" w14:textId="77777777" w:rsidR="00F21A35" w:rsidRDefault="00000000">
      <w:r>
        <w:t>We implemented several quality checks to ensure the reliability of our panel dataset. All games in the final sample exhibit temporal variation in player counts, with mean within-game standard deviation of 0.23 in log-transformed player counts. Games with zero variance or missing data for any time period were excluded from the analysis.</w:t>
      </w:r>
    </w:p>
    <w:p w14:paraId="42A77CC1" w14:textId="77777777" w:rsidR="00F21A35" w:rsidRDefault="00000000">
      <w:r>
        <w:rPr>
          <w:b/>
        </w:rPr>
        <w:t xml:space="preserve">Games with complete data: </w:t>
      </w:r>
      <w:r>
        <w:t>100% of final sample (320 staggered, 145 February)</w:t>
      </w:r>
    </w:p>
    <w:p w14:paraId="2E69DDDE" w14:textId="77777777" w:rsidR="00F21A35" w:rsidRDefault="00000000">
      <w:r>
        <w:rPr>
          <w:b/>
        </w:rPr>
        <w:t xml:space="preserve">Missing review scores: </w:t>
      </w:r>
      <w:r>
        <w:t>Handled via regression software (excluded from review score coefficient estimation)</w:t>
      </w:r>
    </w:p>
    <w:p w14:paraId="2E715AC0" w14:textId="77777777" w:rsidR="00F21A35" w:rsidRDefault="00000000">
      <w:r>
        <w:br w:type="page"/>
      </w:r>
    </w:p>
    <w:p w14:paraId="4DB34E11" w14:textId="77777777" w:rsidR="00F21A35" w:rsidRDefault="00000000">
      <w:pPr>
        <w:pStyle w:val="berschrift1"/>
      </w:pPr>
      <w:bookmarkStart w:id="18" w:name="_Toc221461983"/>
      <w:r>
        <w:lastRenderedPageBreak/>
        <w:t>2. Difference-in-Differences Methodology</w:t>
      </w:r>
      <w:bookmarkEnd w:id="18"/>
    </w:p>
    <w:p w14:paraId="72C6C59A" w14:textId="77777777" w:rsidR="00F21A35" w:rsidRDefault="00000000">
      <w:pPr>
        <w:pStyle w:val="berschrift2"/>
      </w:pPr>
      <w:bookmarkStart w:id="19" w:name="_Toc221461984"/>
      <w:r>
        <w:t>2.1 Empirical Strategy</w:t>
      </w:r>
      <w:bookmarkEnd w:id="19"/>
    </w:p>
    <w:p w14:paraId="4E97A692" w14:textId="77777777" w:rsidR="00F21A35" w:rsidRDefault="00000000">
      <w:r>
        <w:t>We employ the difference-in-differences (DiD) estimator to identify the causal effect of major game patches on player engagement. The DiD approach compares the change in outcomes for treated games (those receiving patches) relative to control games (those not receiving patches) before and after the treatment period. The key identifying assumption is parallel trends: in the absence of treatment, treated and control games would have followed similar trajectories in player engagement.</w:t>
      </w:r>
    </w:p>
    <w:p w14:paraId="2ADE122C" w14:textId="77777777" w:rsidR="00F21A35" w:rsidRDefault="00000000">
      <w:pPr>
        <w:pStyle w:val="berschrift2"/>
      </w:pPr>
      <w:bookmarkStart w:id="20" w:name="_Toc221461985"/>
      <w:r>
        <w:t>2.2 Econometric Specifications</w:t>
      </w:r>
      <w:bookmarkEnd w:id="20"/>
    </w:p>
    <w:p w14:paraId="246BE160" w14:textId="77777777" w:rsidR="00F21A35" w:rsidRDefault="00000000">
      <w:r>
        <w:t>We estimate two primary specifications for each design. Model 1 uses pooled OLS with control variables, while Model 2 (our preferred specification) employs two-way fixed effects to control for selection bias.</w:t>
      </w:r>
    </w:p>
    <w:p w14:paraId="59B1ECFA" w14:textId="77777777" w:rsidR="00F21A35" w:rsidRDefault="00000000">
      <w:pPr>
        <w:pStyle w:val="berschrift3"/>
      </w:pPr>
      <w:bookmarkStart w:id="21" w:name="_Toc221461986"/>
      <w:r>
        <w:t>2.2.1 Model 1: Pooled OLS with Control Variables</w:t>
      </w:r>
      <w:bookmarkEnd w:id="21"/>
    </w:p>
    <w:p w14:paraId="19DD0924" w14:textId="77777777" w:rsidR="00F21A35" w:rsidRDefault="00000000">
      <w:r>
        <w:t>The pooled OLS specification is given by:</w:t>
      </w:r>
    </w:p>
    <w:p w14:paraId="4FB46725" w14:textId="77777777" w:rsidR="00F21A35" w:rsidRDefault="00000000">
      <w:r>
        <w:rPr>
          <w:i/>
        </w:rPr>
        <w:t>ln(Players_it) = β₀ + β₁·Treated_i + β₂·Post_t + β₃·(Treated_i × Post_t) + X'_i·γ + ε_it</w:t>
      </w:r>
    </w:p>
    <w:p w14:paraId="56E5D1B4" w14:textId="77777777" w:rsidR="00F21A35" w:rsidRDefault="00000000">
      <w:r>
        <w:t>where β₃ is the difference-in-differences estimator, X_i includes control variables (genre, age, price, review score), and standard errors are clustered by game to account for within-game correlation over time.</w:t>
      </w:r>
    </w:p>
    <w:p w14:paraId="49AAC95F" w14:textId="77777777" w:rsidR="00F21A35" w:rsidRDefault="00000000">
      <w:pPr>
        <w:pStyle w:val="berschrift3"/>
      </w:pPr>
      <w:bookmarkStart w:id="22" w:name="_Toc221461987"/>
      <w:r>
        <w:t>2.2.2 Model 2: Two-Way Fixed Effects (Preferred)</w:t>
      </w:r>
      <w:bookmarkEnd w:id="22"/>
    </w:p>
    <w:p w14:paraId="37FC1954" w14:textId="77777777" w:rsidR="00F21A35" w:rsidRDefault="00000000">
      <w:r>
        <w:t>Our preferred specification controls for selection bias through game and time fixed effects:</w:t>
      </w:r>
    </w:p>
    <w:p w14:paraId="5D6480DC" w14:textId="77777777" w:rsidR="00F21A35" w:rsidRDefault="00000000">
      <w:r>
        <w:rPr>
          <w:i/>
        </w:rPr>
        <w:t>ln(Players_it) = β₃·(Treated_i × Post_t) + α_i + λ_t + ε_it</w:t>
      </w:r>
    </w:p>
    <w:p w14:paraId="73B04D7D" w14:textId="77777777" w:rsidR="00F21A35" w:rsidRDefault="00000000">
      <w:r>
        <w:t>where α_i represents game fixed effects (controlling for all time-invariant game characteristics), λ_t represents time period fixed effects (controlling for aggregate shocks), and β₃ is the DiD estimator. This specification eliminates bias from systematic differences between games that do and do not receive patches.</w:t>
      </w:r>
    </w:p>
    <w:p w14:paraId="4D999EE2" w14:textId="77777777" w:rsidR="00F21A35" w:rsidRDefault="00000000">
      <w:pPr>
        <w:pStyle w:val="berschrift2"/>
      </w:pPr>
      <w:bookmarkStart w:id="23" w:name="_Toc221461988"/>
      <w:r>
        <w:t>2.3 Identification Strategy</w:t>
      </w:r>
      <w:bookmarkEnd w:id="23"/>
    </w:p>
    <w:p w14:paraId="1971224A" w14:textId="77777777" w:rsidR="00F21A35" w:rsidRDefault="00000000">
      <w:pPr>
        <w:pStyle w:val="berschrift3"/>
      </w:pPr>
      <w:bookmarkStart w:id="24" w:name="_Toc221461989"/>
      <w:r>
        <w:t>2.3.1 Parallel Trends Assumption</w:t>
      </w:r>
      <w:bookmarkEnd w:id="24"/>
    </w:p>
    <w:p w14:paraId="243D30B9" w14:textId="77777777" w:rsidR="00F21A35" w:rsidRDefault="00000000">
      <w:r>
        <w:t>The validity of the DiD estimator relies on the parallel trends assumption: treated and control games would have followed parallel trajectories in the absence of treatment. We assess this assumption through visual inspection of pre-treatment trends and statistical tests where data permit. With limited pre-treatment periods (1 month in staggered design, 2 weeks in February design), formal pre-trend testing has limited power, but visual evidence supports the plausibility of parallel trends in both analyses.</w:t>
      </w:r>
    </w:p>
    <w:p w14:paraId="5A82F9C1" w14:textId="77777777" w:rsidR="00F21A35" w:rsidRDefault="00000000">
      <w:pPr>
        <w:pStyle w:val="berschrift3"/>
      </w:pPr>
      <w:bookmarkStart w:id="25" w:name="_Toc221461990"/>
      <w:r>
        <w:lastRenderedPageBreak/>
        <w:t>2.3.2 Selection Bias and Fixed Effects</w:t>
      </w:r>
      <w:bookmarkEnd w:id="25"/>
    </w:p>
    <w:p w14:paraId="6DB44511" w14:textId="77777777" w:rsidR="00F21A35" w:rsidRDefault="00000000">
      <w:r>
        <w:t>A critical concern in observational studies is selection bias: games that receive major patches likely differ systematically from those that do not. For example, better-funded developers may produce higher-quality games and also invest more in post-launch support. Without controlling for these differences, naive comparisons would attribute pre-existing differences in player engagement to the patch itself. Game fixed effects address this by controlling for all time-invariant characteristics, ensuring that identification comes from within-game variation over time rather than cross-sectional differences between games.</w:t>
      </w:r>
    </w:p>
    <w:p w14:paraId="37CA82DB" w14:textId="77777777" w:rsidR="00F21A35" w:rsidRDefault="00000000">
      <w:pPr>
        <w:pStyle w:val="berschrift3"/>
      </w:pPr>
      <w:bookmarkStart w:id="26" w:name="_Toc221461991"/>
      <w:r>
        <w:t>2.3.3 Cluster-Robust Standard Errors</w:t>
      </w:r>
      <w:bookmarkEnd w:id="26"/>
    </w:p>
    <w:p w14:paraId="6F0AD1C4" w14:textId="77777777" w:rsidR="00F21A35" w:rsidRDefault="00000000">
      <w:r>
        <w:t>Player counts for the same game across different time periods are likely correlated. To account for this within-game correlation, we cluster standard errors by game ID in all specifications. This produces conservative inference that is robust to arbitrary correlation structures within games over time.</w:t>
      </w:r>
    </w:p>
    <w:p w14:paraId="0D1E2D9D" w14:textId="77777777" w:rsidR="00F21A35" w:rsidRDefault="00000000">
      <w:r>
        <w:br w:type="page"/>
      </w:r>
    </w:p>
    <w:p w14:paraId="59C8989B" w14:textId="77777777" w:rsidR="00F21A35" w:rsidRDefault="00000000">
      <w:pPr>
        <w:pStyle w:val="berschrift1"/>
      </w:pPr>
      <w:bookmarkStart w:id="27" w:name="_Toc221461992"/>
      <w:r>
        <w:lastRenderedPageBreak/>
        <w:t>3. Empirical Results</w:t>
      </w:r>
      <w:bookmarkEnd w:id="27"/>
    </w:p>
    <w:p w14:paraId="7F935177" w14:textId="77777777" w:rsidR="00F21A35" w:rsidRDefault="00000000">
      <w:pPr>
        <w:pStyle w:val="berschrift2"/>
      </w:pPr>
      <w:bookmarkStart w:id="28" w:name="_Toc221461993"/>
      <w:r>
        <w:t>3.1 Staggered DiD Analysis (Primary Results)</w:t>
      </w:r>
      <w:bookmarkEnd w:id="28"/>
    </w:p>
    <w:p w14:paraId="51A9364B" w14:textId="77777777" w:rsidR="00F21A35" w:rsidRDefault="00000000">
      <w:pPr>
        <w:pStyle w:val="berschrift3"/>
      </w:pPr>
      <w:bookmarkStart w:id="29" w:name="_Toc221461994"/>
      <w:r>
        <w:t>3.1.1 Main Treatment Effects</w:t>
      </w:r>
      <w:bookmarkEnd w:id="29"/>
    </w:p>
    <w:p w14:paraId="6394C305" w14:textId="77777777" w:rsidR="00F21A35" w:rsidRDefault="00000000">
      <w:pPr>
        <w:pStyle w:val="Beschriftung"/>
      </w:pPr>
      <w:r>
        <w:t>Table 3: Staggered DiD Treatment Effects</w:t>
      </w:r>
    </w:p>
    <w:tbl>
      <w:tblPr>
        <w:tblStyle w:val="HellesRaster-Akzent1"/>
        <w:tblW w:w="0" w:type="auto"/>
        <w:tblLook w:val="04A0" w:firstRow="1" w:lastRow="0" w:firstColumn="1" w:lastColumn="0" w:noHBand="0" w:noVBand="1"/>
      </w:tblPr>
      <w:tblGrid>
        <w:gridCol w:w="1560"/>
        <w:gridCol w:w="1560"/>
        <w:gridCol w:w="1560"/>
        <w:gridCol w:w="1560"/>
        <w:gridCol w:w="1560"/>
        <w:gridCol w:w="1560"/>
      </w:tblGrid>
      <w:tr w:rsidR="00F21A35" w14:paraId="0A011651"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0A869C" w14:textId="77777777" w:rsidR="00F21A35" w:rsidRDefault="00000000">
            <w:r>
              <w:t>Model</w:t>
            </w:r>
          </w:p>
        </w:tc>
        <w:tc>
          <w:tcPr>
            <w:tcW w:w="1560" w:type="dxa"/>
          </w:tcPr>
          <w:p w14:paraId="77DAE8CF"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1560" w:type="dxa"/>
          </w:tcPr>
          <w:p w14:paraId="24223ABF" w14:textId="77777777" w:rsidR="00F21A35" w:rsidRDefault="00000000">
            <w:pPr>
              <w:cnfStyle w:val="100000000000" w:firstRow="1" w:lastRow="0" w:firstColumn="0" w:lastColumn="0" w:oddVBand="0" w:evenVBand="0" w:oddHBand="0" w:evenHBand="0" w:firstRowFirstColumn="0" w:firstRowLastColumn="0" w:lastRowFirstColumn="0" w:lastRowLastColumn="0"/>
            </w:pPr>
            <w:r>
              <w:t>Std Error</w:t>
            </w:r>
          </w:p>
        </w:tc>
        <w:tc>
          <w:tcPr>
            <w:tcW w:w="1560" w:type="dxa"/>
          </w:tcPr>
          <w:p w14:paraId="50347A71"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084A1EB7"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1560" w:type="dxa"/>
          </w:tcPr>
          <w:p w14:paraId="1E8907E8" w14:textId="77777777" w:rsidR="00F21A35" w:rsidRDefault="00000000">
            <w:pPr>
              <w:cnfStyle w:val="100000000000" w:firstRow="1" w:lastRow="0" w:firstColumn="0" w:lastColumn="0" w:oddVBand="0" w:evenVBand="0" w:oddHBand="0" w:evenHBand="0" w:firstRowFirstColumn="0" w:firstRowLastColumn="0" w:lastRowFirstColumn="0" w:lastRowLastColumn="0"/>
            </w:pPr>
            <w:r>
              <w:t>Significant</w:t>
            </w:r>
          </w:p>
        </w:tc>
      </w:tr>
      <w:tr w:rsidR="00F21A35" w14:paraId="75DA923F"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6C1DC64" w14:textId="77777777" w:rsidR="00F21A35" w:rsidRDefault="00000000">
            <w:r>
              <w:t>Model 1: Pooled OLS</w:t>
            </w:r>
          </w:p>
        </w:tc>
        <w:tc>
          <w:tcPr>
            <w:tcW w:w="1560" w:type="dxa"/>
          </w:tcPr>
          <w:p w14:paraId="3630E6A8" w14:textId="77777777" w:rsidR="00F21A35" w:rsidRDefault="00000000">
            <w:pPr>
              <w:cnfStyle w:val="000000100000" w:firstRow="0" w:lastRow="0" w:firstColumn="0" w:lastColumn="0" w:oddVBand="0" w:evenVBand="0" w:oddHBand="1" w:evenHBand="0" w:firstRowFirstColumn="0" w:firstRowLastColumn="0" w:lastRowFirstColumn="0" w:lastRowLastColumn="0"/>
            </w:pPr>
            <w:r>
              <w:t>0.3434</w:t>
            </w:r>
          </w:p>
        </w:tc>
        <w:tc>
          <w:tcPr>
            <w:tcW w:w="1560" w:type="dxa"/>
          </w:tcPr>
          <w:p w14:paraId="0D0D9E51" w14:textId="77777777" w:rsidR="00F21A35" w:rsidRDefault="00000000">
            <w:pPr>
              <w:cnfStyle w:val="000000100000" w:firstRow="0" w:lastRow="0" w:firstColumn="0" w:lastColumn="0" w:oddVBand="0" w:evenVBand="0" w:oddHBand="1" w:evenHBand="0" w:firstRowFirstColumn="0" w:firstRowLastColumn="0" w:lastRowFirstColumn="0" w:lastRowLastColumn="0"/>
            </w:pPr>
            <w:r>
              <w:t>0.0747</w:t>
            </w:r>
          </w:p>
        </w:tc>
        <w:tc>
          <w:tcPr>
            <w:tcW w:w="1560" w:type="dxa"/>
          </w:tcPr>
          <w:p w14:paraId="5E7F3063"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c>
          <w:tcPr>
            <w:tcW w:w="1560" w:type="dxa"/>
          </w:tcPr>
          <w:p w14:paraId="50703130" w14:textId="77777777" w:rsidR="00F21A35" w:rsidRDefault="00000000">
            <w:pPr>
              <w:cnfStyle w:val="000000100000" w:firstRow="0" w:lastRow="0" w:firstColumn="0" w:lastColumn="0" w:oddVBand="0" w:evenVBand="0" w:oddHBand="1" w:evenHBand="0" w:firstRowFirstColumn="0" w:firstRowLastColumn="0" w:lastRowFirstColumn="0" w:lastRowLastColumn="0"/>
            </w:pPr>
            <w:r>
              <w:t>+40.95%</w:t>
            </w:r>
          </w:p>
        </w:tc>
        <w:tc>
          <w:tcPr>
            <w:tcW w:w="1560" w:type="dxa"/>
          </w:tcPr>
          <w:p w14:paraId="7B1BD580" w14:textId="77777777" w:rsidR="00F21A35" w:rsidRDefault="00000000">
            <w:pPr>
              <w:cnfStyle w:val="000000100000" w:firstRow="0" w:lastRow="0" w:firstColumn="0" w:lastColumn="0" w:oddVBand="0" w:evenVBand="0" w:oddHBand="1" w:evenHBand="0" w:firstRowFirstColumn="0" w:firstRowLastColumn="0" w:lastRowFirstColumn="0" w:lastRowLastColumn="0"/>
            </w:pPr>
            <w:r>
              <w:t>Yes***</w:t>
            </w:r>
          </w:p>
        </w:tc>
      </w:tr>
      <w:tr w:rsidR="00F21A35" w14:paraId="60C67D9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2979BD" w14:textId="77777777" w:rsidR="00F21A35" w:rsidRDefault="00000000">
            <w:r>
              <w:t>Model 2: Two-Way FE</w:t>
            </w:r>
          </w:p>
        </w:tc>
        <w:tc>
          <w:tcPr>
            <w:tcW w:w="1560" w:type="dxa"/>
          </w:tcPr>
          <w:p w14:paraId="1B30356F" w14:textId="77777777" w:rsidR="00F21A35" w:rsidRDefault="00000000">
            <w:pPr>
              <w:cnfStyle w:val="000000010000" w:firstRow="0" w:lastRow="0" w:firstColumn="0" w:lastColumn="0" w:oddVBand="0" w:evenVBand="0" w:oddHBand="0" w:evenHBand="1" w:firstRowFirstColumn="0" w:firstRowLastColumn="0" w:lastRowFirstColumn="0" w:lastRowLastColumn="0"/>
            </w:pPr>
            <w:r>
              <w:t>0.0604</w:t>
            </w:r>
          </w:p>
        </w:tc>
        <w:tc>
          <w:tcPr>
            <w:tcW w:w="1560" w:type="dxa"/>
          </w:tcPr>
          <w:p w14:paraId="237E9AC6" w14:textId="77777777" w:rsidR="00F21A35" w:rsidRDefault="00000000">
            <w:pPr>
              <w:cnfStyle w:val="000000010000" w:firstRow="0" w:lastRow="0" w:firstColumn="0" w:lastColumn="0" w:oddVBand="0" w:evenVBand="0" w:oddHBand="0" w:evenHBand="1" w:firstRowFirstColumn="0" w:firstRowLastColumn="0" w:lastRowFirstColumn="0" w:lastRowLastColumn="0"/>
            </w:pPr>
            <w:r>
              <w:t>0.0298</w:t>
            </w:r>
          </w:p>
        </w:tc>
        <w:tc>
          <w:tcPr>
            <w:tcW w:w="1560" w:type="dxa"/>
          </w:tcPr>
          <w:p w14:paraId="4B04614A" w14:textId="77777777" w:rsidR="00F21A35" w:rsidRDefault="00000000">
            <w:pPr>
              <w:cnfStyle w:val="000000010000" w:firstRow="0" w:lastRow="0" w:firstColumn="0" w:lastColumn="0" w:oddVBand="0" w:evenVBand="0" w:oddHBand="0" w:evenHBand="1" w:firstRowFirstColumn="0" w:firstRowLastColumn="0" w:lastRowFirstColumn="0" w:lastRowLastColumn="0"/>
            </w:pPr>
            <w:r>
              <w:t>0.044</w:t>
            </w:r>
          </w:p>
        </w:tc>
        <w:tc>
          <w:tcPr>
            <w:tcW w:w="1560" w:type="dxa"/>
          </w:tcPr>
          <w:p w14:paraId="0215390A" w14:textId="77777777" w:rsidR="00F21A35" w:rsidRDefault="00000000">
            <w:pPr>
              <w:cnfStyle w:val="000000010000" w:firstRow="0" w:lastRow="0" w:firstColumn="0" w:lastColumn="0" w:oddVBand="0" w:evenVBand="0" w:oddHBand="0" w:evenHBand="1" w:firstRowFirstColumn="0" w:firstRowLastColumn="0" w:lastRowFirstColumn="0" w:lastRowLastColumn="0"/>
            </w:pPr>
            <w:r>
              <w:t>+6.23%</w:t>
            </w:r>
          </w:p>
        </w:tc>
        <w:tc>
          <w:tcPr>
            <w:tcW w:w="1560" w:type="dxa"/>
          </w:tcPr>
          <w:p w14:paraId="0339F05B" w14:textId="77777777" w:rsidR="00F21A35"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39CE0DD5" w14:textId="77777777" w:rsidR="00F21A35" w:rsidRDefault="00F21A35"/>
    <w:p w14:paraId="30F564BE" w14:textId="77777777" w:rsidR="00F21A35" w:rsidRDefault="00000000">
      <w:r>
        <w:t>Table 3 presents the main treatment effects from both model specifications. Model 1 yields a highly significant coefficient of 0.34 (p&lt;0.001), implying a 41% increase in player counts. However, this estimate suffers from substantial selection bias, as it does not control for time-invariant differences between treated and control games.</w:t>
      </w:r>
    </w:p>
    <w:p w14:paraId="5126A7FC" w14:textId="77777777" w:rsidR="00F21A35" w:rsidRDefault="00000000">
      <w:r>
        <w:t>Our preferred Model 2 specification, which includes game and time fixed effects, yields a more credible causal estimate of 0.060 (p=0.044), corresponding to a 6.2% increase in average concurrent players. This estimate is statistically significant at the 5% level with a 95% confidence interval of [0.15%, 12.4%]. The dramatic reduction from 41% to 6% highlights the severe selection bias present in naive comparisons.</w:t>
      </w:r>
    </w:p>
    <w:p w14:paraId="53075C04" w14:textId="77777777" w:rsidR="00F21A35" w:rsidRDefault="00000000">
      <w:pPr>
        <w:pStyle w:val="berschrift3"/>
      </w:pPr>
      <w:bookmarkStart w:id="30" w:name="_Toc221461995"/>
      <w:r>
        <w:t>3.1.2 Selection Bias Decomposition</w:t>
      </w:r>
      <w:bookmarkEnd w:id="30"/>
    </w:p>
    <w:p w14:paraId="5C61EDC0" w14:textId="77777777" w:rsidR="00F21A35" w:rsidRDefault="00000000">
      <w:r>
        <w:t>The difference between Model 1 and Model 2 estimates reveals the magnitude of selection bias. Of the 41% effect estimated in Model 1, only 6.2 percentage points represent the true causal effect of patches. The remaining 34.7 percentage points reflect pre-existing differences between games that do and do not receive major patches. This finding underscores the critical importance of controlling for selection in observational studies of game updates.</w:t>
      </w:r>
    </w:p>
    <w:p w14:paraId="33EAD8F6" w14:textId="77777777" w:rsidR="00F21A35" w:rsidRDefault="00000000">
      <w:r>
        <w:rPr>
          <w:b/>
        </w:rPr>
        <w:t>Selection Bias Decomposition:</w:t>
      </w:r>
    </w:p>
    <w:p w14:paraId="539212A8" w14:textId="77777777" w:rsidR="00F21A35" w:rsidRDefault="00000000">
      <w:pPr>
        <w:pStyle w:val="Aufzhlungszeichen"/>
      </w:pPr>
      <w:r>
        <w:t>Model 1 estimate (biased): +40.95%</w:t>
      </w:r>
    </w:p>
    <w:p w14:paraId="25E2A733" w14:textId="77777777" w:rsidR="00F21A35" w:rsidRDefault="00000000">
      <w:pPr>
        <w:pStyle w:val="Aufzhlungszeichen"/>
      </w:pPr>
      <w:r>
        <w:t>Model 2 estimate (causal): +6.23%</w:t>
      </w:r>
    </w:p>
    <w:p w14:paraId="03352626" w14:textId="77777777" w:rsidR="00F21A35" w:rsidRDefault="00000000">
      <w:pPr>
        <w:pStyle w:val="Aufzhlungszeichen"/>
      </w:pPr>
      <w:r>
        <w:t>Selection bias: +34.72 percentage points</w:t>
      </w:r>
    </w:p>
    <w:p w14:paraId="29053262" w14:textId="77777777" w:rsidR="00F21A35" w:rsidRDefault="00000000">
      <w:pPr>
        <w:pStyle w:val="berschrift3"/>
      </w:pPr>
      <w:bookmarkStart w:id="31" w:name="_Toc221461996"/>
      <w:r>
        <w:t>3.1.3 Control Variable Effects</w:t>
      </w:r>
      <w:bookmarkEnd w:id="31"/>
    </w:p>
    <w:p w14:paraId="476AA462" w14:textId="77777777" w:rsidR="00F21A35" w:rsidRDefault="00000000">
      <w:r>
        <w:t>Model 1 provides estimates of control variable effects (absorbed by fixed effects in Model 2):</w:t>
      </w:r>
    </w:p>
    <w:p w14:paraId="613118B8" w14:textId="77777777" w:rsidR="00F21A35" w:rsidRDefault="00000000">
      <w:pPr>
        <w:pStyle w:val="Beschriftung"/>
      </w:pPr>
      <w:r>
        <w:t>Table 4: Control Variable Effects (Model 1)</w:t>
      </w:r>
    </w:p>
    <w:tbl>
      <w:tblPr>
        <w:tblStyle w:val="HellesRaster-Akzent1"/>
        <w:tblW w:w="0" w:type="auto"/>
        <w:tblLook w:val="04A0" w:firstRow="1" w:lastRow="0" w:firstColumn="1" w:lastColumn="0" w:noHBand="0" w:noVBand="1"/>
      </w:tblPr>
      <w:tblGrid>
        <w:gridCol w:w="2340"/>
        <w:gridCol w:w="2340"/>
        <w:gridCol w:w="2340"/>
        <w:gridCol w:w="2340"/>
      </w:tblGrid>
      <w:tr w:rsidR="00F21A35" w14:paraId="4C199B62"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8E31DF" w14:textId="77777777" w:rsidR="00F21A35" w:rsidRDefault="00000000">
            <w:r>
              <w:t>Variable</w:t>
            </w:r>
          </w:p>
        </w:tc>
        <w:tc>
          <w:tcPr>
            <w:tcW w:w="2340" w:type="dxa"/>
          </w:tcPr>
          <w:p w14:paraId="711C087B"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2340" w:type="dxa"/>
          </w:tcPr>
          <w:p w14:paraId="5B7E5A08" w14:textId="77777777" w:rsidR="00F21A35" w:rsidRDefault="00000000">
            <w:pPr>
              <w:cnfStyle w:val="100000000000" w:firstRow="1" w:lastRow="0" w:firstColumn="0" w:lastColumn="0" w:oddVBand="0" w:evenVBand="0" w:oddHBand="0" w:evenHBand="0" w:firstRowFirstColumn="0" w:firstRowLastColumn="0" w:lastRowFirstColumn="0" w:lastRowLastColumn="0"/>
            </w:pPr>
            <w:r>
              <w:t>Interpretation</w:t>
            </w:r>
          </w:p>
        </w:tc>
        <w:tc>
          <w:tcPr>
            <w:tcW w:w="2340" w:type="dxa"/>
          </w:tcPr>
          <w:p w14:paraId="1950CEC8"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r>
      <w:tr w:rsidR="00F21A35" w14:paraId="704479F3"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6AD872" w14:textId="77777777" w:rsidR="00F21A35" w:rsidRDefault="00000000">
            <w:r>
              <w:t>age_years</w:t>
            </w:r>
          </w:p>
        </w:tc>
        <w:tc>
          <w:tcPr>
            <w:tcW w:w="2340" w:type="dxa"/>
          </w:tcPr>
          <w:p w14:paraId="56FE38B9" w14:textId="77777777" w:rsidR="00F21A35" w:rsidRDefault="00000000">
            <w:pPr>
              <w:cnfStyle w:val="000000100000" w:firstRow="0" w:lastRow="0" w:firstColumn="0" w:lastColumn="0" w:oddVBand="0" w:evenVBand="0" w:oddHBand="1" w:evenHBand="0" w:firstRowFirstColumn="0" w:firstRowLastColumn="0" w:lastRowFirstColumn="0" w:lastRowLastColumn="0"/>
            </w:pPr>
            <w:r>
              <w:t>0.146</w:t>
            </w:r>
          </w:p>
        </w:tc>
        <w:tc>
          <w:tcPr>
            <w:tcW w:w="2340" w:type="dxa"/>
          </w:tcPr>
          <w:p w14:paraId="71D2EA98" w14:textId="77777777" w:rsidR="00F21A35" w:rsidRDefault="00000000">
            <w:pPr>
              <w:cnfStyle w:val="000000100000" w:firstRow="0" w:lastRow="0" w:firstColumn="0" w:lastColumn="0" w:oddVBand="0" w:evenVBand="0" w:oddHBand="1" w:evenHBand="0" w:firstRowFirstColumn="0" w:firstRowLastColumn="0" w:lastRowFirstColumn="0" w:lastRowLastColumn="0"/>
            </w:pPr>
            <w:r>
              <w:t>+15.7% per year of age</w:t>
            </w:r>
          </w:p>
        </w:tc>
        <w:tc>
          <w:tcPr>
            <w:tcW w:w="2340" w:type="dxa"/>
          </w:tcPr>
          <w:p w14:paraId="437EBDCF"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r>
      <w:tr w:rsidR="00F21A35" w14:paraId="7D00BC41"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E07519F" w14:textId="77777777" w:rsidR="00F21A35" w:rsidRDefault="00000000">
            <w:r>
              <w:t>price_usd</w:t>
            </w:r>
          </w:p>
        </w:tc>
        <w:tc>
          <w:tcPr>
            <w:tcW w:w="2340" w:type="dxa"/>
          </w:tcPr>
          <w:p w14:paraId="49D2FB6E" w14:textId="77777777" w:rsidR="00F21A35" w:rsidRDefault="00000000">
            <w:pPr>
              <w:cnfStyle w:val="000000010000" w:firstRow="0" w:lastRow="0" w:firstColumn="0" w:lastColumn="0" w:oddVBand="0" w:evenVBand="0" w:oddHBand="0" w:evenHBand="1" w:firstRowFirstColumn="0" w:firstRowLastColumn="0" w:lastRowFirstColumn="0" w:lastRowLastColumn="0"/>
            </w:pPr>
            <w:r>
              <w:t>0.000</w:t>
            </w:r>
          </w:p>
        </w:tc>
        <w:tc>
          <w:tcPr>
            <w:tcW w:w="2340" w:type="dxa"/>
          </w:tcPr>
          <w:p w14:paraId="3E048D6B" w14:textId="77777777" w:rsidR="00F21A35" w:rsidRDefault="00000000">
            <w:pPr>
              <w:cnfStyle w:val="000000010000" w:firstRow="0" w:lastRow="0" w:firstColumn="0" w:lastColumn="0" w:oddVBand="0" w:evenVBand="0" w:oddHBand="0" w:evenHBand="1" w:firstRowFirstColumn="0" w:firstRowLastColumn="0" w:lastRowFirstColumn="0" w:lastRowLastColumn="0"/>
            </w:pPr>
            <w:r>
              <w:t xml:space="preserve">No significant price </w:t>
            </w:r>
            <w:r>
              <w:lastRenderedPageBreak/>
              <w:t>effect</w:t>
            </w:r>
          </w:p>
        </w:tc>
        <w:tc>
          <w:tcPr>
            <w:tcW w:w="2340" w:type="dxa"/>
          </w:tcPr>
          <w:p w14:paraId="4FB20F45" w14:textId="77777777" w:rsidR="00F21A35" w:rsidRDefault="00000000">
            <w:pPr>
              <w:cnfStyle w:val="000000010000" w:firstRow="0" w:lastRow="0" w:firstColumn="0" w:lastColumn="0" w:oddVBand="0" w:evenVBand="0" w:oddHBand="0" w:evenHBand="1" w:firstRowFirstColumn="0" w:firstRowLastColumn="0" w:lastRowFirstColumn="0" w:lastRowLastColumn="0"/>
            </w:pPr>
            <w:r>
              <w:lastRenderedPageBreak/>
              <w:t>0.375</w:t>
            </w:r>
          </w:p>
        </w:tc>
      </w:tr>
      <w:tr w:rsidR="00F21A35" w14:paraId="4C2153A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4302ED" w14:textId="77777777" w:rsidR="00F21A35" w:rsidRDefault="00000000">
            <w:r>
              <w:t>review_score</w:t>
            </w:r>
          </w:p>
        </w:tc>
        <w:tc>
          <w:tcPr>
            <w:tcW w:w="2340" w:type="dxa"/>
          </w:tcPr>
          <w:p w14:paraId="45D3F492" w14:textId="77777777" w:rsidR="00F21A35" w:rsidRDefault="00000000">
            <w:pPr>
              <w:cnfStyle w:val="000000100000" w:firstRow="0" w:lastRow="0" w:firstColumn="0" w:lastColumn="0" w:oddVBand="0" w:evenVBand="0" w:oddHBand="1" w:evenHBand="0" w:firstRowFirstColumn="0" w:firstRowLastColumn="0" w:lastRowFirstColumn="0" w:lastRowLastColumn="0"/>
            </w:pPr>
            <w:r>
              <w:t>1.679</w:t>
            </w:r>
          </w:p>
        </w:tc>
        <w:tc>
          <w:tcPr>
            <w:tcW w:w="2340" w:type="dxa"/>
          </w:tcPr>
          <w:p w14:paraId="6F5A60E6" w14:textId="77777777" w:rsidR="00F21A35" w:rsidRDefault="00000000">
            <w:pPr>
              <w:cnfStyle w:val="000000100000" w:firstRow="0" w:lastRow="0" w:firstColumn="0" w:lastColumn="0" w:oddVBand="0" w:evenVBand="0" w:oddHBand="1" w:evenHBand="0" w:firstRowFirstColumn="0" w:firstRowLastColumn="0" w:lastRowFirstColumn="0" w:lastRowLastColumn="0"/>
            </w:pPr>
            <w:r>
              <w:t>+435% per 10-point increase</w:t>
            </w:r>
          </w:p>
        </w:tc>
        <w:tc>
          <w:tcPr>
            <w:tcW w:w="2340" w:type="dxa"/>
          </w:tcPr>
          <w:p w14:paraId="79444BEA"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r>
    </w:tbl>
    <w:p w14:paraId="3593336A" w14:textId="77777777" w:rsidR="00F21A35" w:rsidRDefault="00F21A35"/>
    <w:p w14:paraId="6B284C1C" w14:textId="77777777" w:rsidR="00F21A35" w:rsidRDefault="00000000">
      <w:r>
        <w:t>Older games exhibit higher player counts (+15.7% per year), likely reflecting survivor bias and accumulated reputation effects. Price shows no significant relationship with concurrent players. Review scores are the strongest predictor, with a 10-point increase in review score associated with a 435% increase in player counts, highlighting the dominant role of game quality in determining engagement.</w:t>
      </w:r>
    </w:p>
    <w:p w14:paraId="03FCCFE0" w14:textId="77777777" w:rsidR="00F21A35" w:rsidRDefault="00000000">
      <w:pPr>
        <w:pStyle w:val="berschrift3"/>
      </w:pPr>
      <w:bookmarkStart w:id="32" w:name="_Toc221461997"/>
      <w:r>
        <w:t>3.1.4 Treatment Effect Heterogeneity</w:t>
      </w:r>
      <w:bookmarkEnd w:id="32"/>
    </w:p>
    <w:p w14:paraId="14BF880A" w14:textId="77777777" w:rsidR="00F21A35" w:rsidRDefault="00000000">
      <w:r>
        <w:t>To examine whether treatment effects vary by timing, we estimated cohort-specific effects for each of the four treatment cohorts (January, February, March, April). Results show no evidence of treatment effect heterogeneity: all cohorts exhibit similar effect sizes ranging from 3.2% to 8.1%, with none individually significant due to reduced statistical power in subgroup analysis. This homogeneity suggests that the treatment effect does not depend critically on the timing of patch release within our observation window.</w:t>
      </w:r>
    </w:p>
    <w:p w14:paraId="12D29BF0" w14:textId="77777777" w:rsidR="00F21A35" w:rsidRDefault="00000000">
      <w:pPr>
        <w:pStyle w:val="Beschriftung"/>
      </w:pPr>
      <w:r>
        <w:t>Table 5: Cohort-Specific Treatment Effects</w:t>
      </w:r>
    </w:p>
    <w:tbl>
      <w:tblPr>
        <w:tblStyle w:val="HellesRaster-Akzent1"/>
        <w:tblW w:w="0" w:type="auto"/>
        <w:tblLook w:val="04A0" w:firstRow="1" w:lastRow="0" w:firstColumn="1" w:lastColumn="0" w:noHBand="0" w:noVBand="1"/>
      </w:tblPr>
      <w:tblGrid>
        <w:gridCol w:w="2340"/>
        <w:gridCol w:w="2340"/>
        <w:gridCol w:w="2340"/>
        <w:gridCol w:w="2340"/>
      </w:tblGrid>
      <w:tr w:rsidR="00F21A35" w14:paraId="19AAFDE6"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B4F16C" w14:textId="77777777" w:rsidR="00F21A35" w:rsidRDefault="00000000">
            <w:r>
              <w:t>Cohort</w:t>
            </w:r>
          </w:p>
        </w:tc>
        <w:tc>
          <w:tcPr>
            <w:tcW w:w="2340" w:type="dxa"/>
          </w:tcPr>
          <w:p w14:paraId="1C9E8EA8"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2340" w:type="dxa"/>
          </w:tcPr>
          <w:p w14:paraId="09D39562"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2340" w:type="dxa"/>
          </w:tcPr>
          <w:p w14:paraId="1516759E"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r>
      <w:tr w:rsidR="00F21A35" w14:paraId="4A155063"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DB2FAE" w14:textId="77777777" w:rsidR="00F21A35" w:rsidRDefault="00000000">
            <w:r>
              <w:t>January 2025</w:t>
            </w:r>
          </w:p>
        </w:tc>
        <w:tc>
          <w:tcPr>
            <w:tcW w:w="2340" w:type="dxa"/>
          </w:tcPr>
          <w:p w14:paraId="26C0F8DC" w14:textId="77777777" w:rsidR="00F21A35" w:rsidRDefault="00000000">
            <w:pPr>
              <w:cnfStyle w:val="000000100000" w:firstRow="0" w:lastRow="0" w:firstColumn="0" w:lastColumn="0" w:oddVBand="0" w:evenVBand="0" w:oddHBand="1" w:evenHBand="0" w:firstRowFirstColumn="0" w:firstRowLastColumn="0" w:lastRowFirstColumn="0" w:lastRowLastColumn="0"/>
            </w:pPr>
            <w:r>
              <w:t>0.032</w:t>
            </w:r>
          </w:p>
        </w:tc>
        <w:tc>
          <w:tcPr>
            <w:tcW w:w="2340" w:type="dxa"/>
          </w:tcPr>
          <w:p w14:paraId="5417D0CF" w14:textId="77777777" w:rsidR="00F21A35" w:rsidRDefault="00000000">
            <w:pPr>
              <w:cnfStyle w:val="000000100000" w:firstRow="0" w:lastRow="0" w:firstColumn="0" w:lastColumn="0" w:oddVBand="0" w:evenVBand="0" w:oddHBand="1" w:evenHBand="0" w:firstRowFirstColumn="0" w:firstRowLastColumn="0" w:lastRowFirstColumn="0" w:lastRowLastColumn="0"/>
            </w:pPr>
            <w:r>
              <w:t>+3.24%</w:t>
            </w:r>
          </w:p>
        </w:tc>
        <w:tc>
          <w:tcPr>
            <w:tcW w:w="2340" w:type="dxa"/>
          </w:tcPr>
          <w:p w14:paraId="30B27A94" w14:textId="77777777" w:rsidR="00F21A35" w:rsidRDefault="00000000">
            <w:pPr>
              <w:cnfStyle w:val="000000100000" w:firstRow="0" w:lastRow="0" w:firstColumn="0" w:lastColumn="0" w:oddVBand="0" w:evenVBand="0" w:oddHBand="1" w:evenHBand="0" w:firstRowFirstColumn="0" w:firstRowLastColumn="0" w:lastRowFirstColumn="0" w:lastRowLastColumn="0"/>
            </w:pPr>
            <w:r>
              <w:t>0.383</w:t>
            </w:r>
          </w:p>
        </w:tc>
      </w:tr>
      <w:tr w:rsidR="00F21A35" w14:paraId="1A259803"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B9D0E4" w14:textId="77777777" w:rsidR="00F21A35" w:rsidRDefault="00000000">
            <w:r>
              <w:t>February 2025</w:t>
            </w:r>
          </w:p>
        </w:tc>
        <w:tc>
          <w:tcPr>
            <w:tcW w:w="2340" w:type="dxa"/>
          </w:tcPr>
          <w:p w14:paraId="298F7606" w14:textId="77777777" w:rsidR="00F21A35" w:rsidRDefault="00000000">
            <w:pPr>
              <w:cnfStyle w:val="000000010000" w:firstRow="0" w:lastRow="0" w:firstColumn="0" w:lastColumn="0" w:oddVBand="0" w:evenVBand="0" w:oddHBand="0" w:evenHBand="1" w:firstRowFirstColumn="0" w:firstRowLastColumn="0" w:lastRowFirstColumn="0" w:lastRowLastColumn="0"/>
            </w:pPr>
            <w:r>
              <w:t>0.078</w:t>
            </w:r>
          </w:p>
        </w:tc>
        <w:tc>
          <w:tcPr>
            <w:tcW w:w="2340" w:type="dxa"/>
          </w:tcPr>
          <w:p w14:paraId="7FAF8AAF" w14:textId="77777777" w:rsidR="00F21A35" w:rsidRDefault="00000000">
            <w:pPr>
              <w:cnfStyle w:val="000000010000" w:firstRow="0" w:lastRow="0" w:firstColumn="0" w:lastColumn="0" w:oddVBand="0" w:evenVBand="0" w:oddHBand="0" w:evenHBand="1" w:firstRowFirstColumn="0" w:firstRowLastColumn="0" w:lastRowFirstColumn="0" w:lastRowLastColumn="0"/>
            </w:pPr>
            <w:r>
              <w:t>+8.09%</w:t>
            </w:r>
          </w:p>
        </w:tc>
        <w:tc>
          <w:tcPr>
            <w:tcW w:w="2340" w:type="dxa"/>
          </w:tcPr>
          <w:p w14:paraId="0C6858DC" w14:textId="77777777" w:rsidR="00F21A35" w:rsidRDefault="00000000">
            <w:pPr>
              <w:cnfStyle w:val="000000010000" w:firstRow="0" w:lastRow="0" w:firstColumn="0" w:lastColumn="0" w:oddVBand="0" w:evenVBand="0" w:oddHBand="0" w:evenHBand="1" w:firstRowFirstColumn="0" w:firstRowLastColumn="0" w:lastRowFirstColumn="0" w:lastRowLastColumn="0"/>
            </w:pPr>
            <w:r>
              <w:t>0.215</w:t>
            </w:r>
          </w:p>
        </w:tc>
      </w:tr>
      <w:tr w:rsidR="00F21A35" w14:paraId="2ECF68A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456563" w14:textId="77777777" w:rsidR="00F21A35" w:rsidRDefault="00000000">
            <w:r>
              <w:t>March 2025</w:t>
            </w:r>
          </w:p>
        </w:tc>
        <w:tc>
          <w:tcPr>
            <w:tcW w:w="2340" w:type="dxa"/>
          </w:tcPr>
          <w:p w14:paraId="144F4695" w14:textId="77777777" w:rsidR="00F21A35" w:rsidRDefault="00000000">
            <w:pPr>
              <w:cnfStyle w:val="000000100000" w:firstRow="0" w:lastRow="0" w:firstColumn="0" w:lastColumn="0" w:oddVBand="0" w:evenVBand="0" w:oddHBand="1" w:evenHBand="0" w:firstRowFirstColumn="0" w:firstRowLastColumn="0" w:lastRowFirstColumn="0" w:lastRowLastColumn="0"/>
            </w:pPr>
            <w:r>
              <w:t>0.058</w:t>
            </w:r>
          </w:p>
        </w:tc>
        <w:tc>
          <w:tcPr>
            <w:tcW w:w="2340" w:type="dxa"/>
          </w:tcPr>
          <w:p w14:paraId="40537DC6" w14:textId="77777777" w:rsidR="00F21A35" w:rsidRDefault="00000000">
            <w:pPr>
              <w:cnfStyle w:val="000000100000" w:firstRow="0" w:lastRow="0" w:firstColumn="0" w:lastColumn="0" w:oddVBand="0" w:evenVBand="0" w:oddHBand="1" w:evenHBand="0" w:firstRowFirstColumn="0" w:firstRowLastColumn="0" w:lastRowFirstColumn="0" w:lastRowLastColumn="0"/>
            </w:pPr>
            <w:r>
              <w:t>+5.98%</w:t>
            </w:r>
          </w:p>
        </w:tc>
        <w:tc>
          <w:tcPr>
            <w:tcW w:w="2340" w:type="dxa"/>
          </w:tcPr>
          <w:p w14:paraId="5E0CDEE2" w14:textId="77777777" w:rsidR="00F21A35" w:rsidRDefault="00000000">
            <w:pPr>
              <w:cnfStyle w:val="000000100000" w:firstRow="0" w:lastRow="0" w:firstColumn="0" w:lastColumn="0" w:oddVBand="0" w:evenVBand="0" w:oddHBand="1" w:evenHBand="0" w:firstRowFirstColumn="0" w:firstRowLastColumn="0" w:lastRowFirstColumn="0" w:lastRowLastColumn="0"/>
            </w:pPr>
            <w:r>
              <w:t>0.242</w:t>
            </w:r>
          </w:p>
        </w:tc>
      </w:tr>
      <w:tr w:rsidR="00F21A35" w14:paraId="784048BC"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EEC5BA" w14:textId="77777777" w:rsidR="00F21A35" w:rsidRDefault="00000000">
            <w:r>
              <w:t>April 2025</w:t>
            </w:r>
          </w:p>
        </w:tc>
        <w:tc>
          <w:tcPr>
            <w:tcW w:w="2340" w:type="dxa"/>
          </w:tcPr>
          <w:p w14:paraId="14246277" w14:textId="77777777" w:rsidR="00F21A35" w:rsidRDefault="00000000">
            <w:pPr>
              <w:cnfStyle w:val="000000010000" w:firstRow="0" w:lastRow="0" w:firstColumn="0" w:lastColumn="0" w:oddVBand="0" w:evenVBand="0" w:oddHBand="0" w:evenHBand="1" w:firstRowFirstColumn="0" w:firstRowLastColumn="0" w:lastRowFirstColumn="0" w:lastRowLastColumn="0"/>
            </w:pPr>
            <w:r>
              <w:t>0.078</w:t>
            </w:r>
          </w:p>
        </w:tc>
        <w:tc>
          <w:tcPr>
            <w:tcW w:w="2340" w:type="dxa"/>
          </w:tcPr>
          <w:p w14:paraId="52E2264D" w14:textId="77777777" w:rsidR="00F21A35" w:rsidRDefault="00000000">
            <w:pPr>
              <w:cnfStyle w:val="000000010000" w:firstRow="0" w:lastRow="0" w:firstColumn="0" w:lastColumn="0" w:oddVBand="0" w:evenVBand="0" w:oddHBand="0" w:evenHBand="1" w:firstRowFirstColumn="0" w:firstRowLastColumn="0" w:lastRowFirstColumn="0" w:lastRowLastColumn="0"/>
            </w:pPr>
            <w:r>
              <w:t>+8.07%</w:t>
            </w:r>
          </w:p>
        </w:tc>
        <w:tc>
          <w:tcPr>
            <w:tcW w:w="2340" w:type="dxa"/>
          </w:tcPr>
          <w:p w14:paraId="48E44538" w14:textId="77777777" w:rsidR="00F21A35" w:rsidRDefault="00000000">
            <w:pPr>
              <w:cnfStyle w:val="000000010000" w:firstRow="0" w:lastRow="0" w:firstColumn="0" w:lastColumn="0" w:oddVBand="0" w:evenVBand="0" w:oddHBand="0" w:evenHBand="1" w:firstRowFirstColumn="0" w:firstRowLastColumn="0" w:lastRowFirstColumn="0" w:lastRowLastColumn="0"/>
            </w:pPr>
            <w:r>
              <w:t>0.246</w:t>
            </w:r>
          </w:p>
        </w:tc>
      </w:tr>
    </w:tbl>
    <w:p w14:paraId="55335ADE" w14:textId="77777777" w:rsidR="00F21A35" w:rsidRDefault="00F21A35"/>
    <w:p w14:paraId="2E31D92E" w14:textId="77777777" w:rsidR="00F21A35" w:rsidRDefault="00000000">
      <w:pPr>
        <w:pStyle w:val="berschrift2"/>
      </w:pPr>
      <w:bookmarkStart w:id="33" w:name="_Toc221461998"/>
      <w:r>
        <w:t>3.2 February 2025 Robustness Check</w:t>
      </w:r>
      <w:bookmarkEnd w:id="33"/>
    </w:p>
    <w:p w14:paraId="49658E14" w14:textId="77777777" w:rsidR="00F21A35" w:rsidRDefault="00000000">
      <w:r>
        <w:t>To validate our findings with a different time granularity and sample composition, we re-estimate the treatment effect using weekly data for the February 2025 cohort exclusively.</w:t>
      </w:r>
    </w:p>
    <w:p w14:paraId="58088356" w14:textId="77777777" w:rsidR="00F21A35" w:rsidRDefault="00000000">
      <w:pPr>
        <w:pStyle w:val="Beschriftung"/>
      </w:pPr>
      <w:r>
        <w:t>Table 6: February 2025 Treatment Effects</w:t>
      </w:r>
    </w:p>
    <w:tbl>
      <w:tblPr>
        <w:tblStyle w:val="HellesRaster-Akzent1"/>
        <w:tblW w:w="0" w:type="auto"/>
        <w:tblLook w:val="04A0" w:firstRow="1" w:lastRow="0" w:firstColumn="1" w:lastColumn="0" w:noHBand="0" w:noVBand="1"/>
      </w:tblPr>
      <w:tblGrid>
        <w:gridCol w:w="1560"/>
        <w:gridCol w:w="1560"/>
        <w:gridCol w:w="1560"/>
        <w:gridCol w:w="1560"/>
        <w:gridCol w:w="1560"/>
        <w:gridCol w:w="1560"/>
      </w:tblGrid>
      <w:tr w:rsidR="00F21A35" w14:paraId="26396AC0"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9A34D90" w14:textId="77777777" w:rsidR="00F21A35" w:rsidRDefault="00000000">
            <w:r>
              <w:t>Model</w:t>
            </w:r>
          </w:p>
        </w:tc>
        <w:tc>
          <w:tcPr>
            <w:tcW w:w="1560" w:type="dxa"/>
          </w:tcPr>
          <w:p w14:paraId="68E3668D"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1560" w:type="dxa"/>
          </w:tcPr>
          <w:p w14:paraId="76E215DF" w14:textId="77777777" w:rsidR="00F21A35" w:rsidRDefault="00000000">
            <w:pPr>
              <w:cnfStyle w:val="100000000000" w:firstRow="1" w:lastRow="0" w:firstColumn="0" w:lastColumn="0" w:oddVBand="0" w:evenVBand="0" w:oddHBand="0" w:evenHBand="0" w:firstRowFirstColumn="0" w:firstRowLastColumn="0" w:lastRowFirstColumn="0" w:lastRowLastColumn="0"/>
            </w:pPr>
            <w:r>
              <w:t>Std Error</w:t>
            </w:r>
          </w:p>
        </w:tc>
        <w:tc>
          <w:tcPr>
            <w:tcW w:w="1560" w:type="dxa"/>
          </w:tcPr>
          <w:p w14:paraId="5A6E065E"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49F735D0"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1560" w:type="dxa"/>
          </w:tcPr>
          <w:p w14:paraId="2BD85B75" w14:textId="77777777" w:rsidR="00F21A35" w:rsidRDefault="00000000">
            <w:pPr>
              <w:cnfStyle w:val="100000000000" w:firstRow="1" w:lastRow="0" w:firstColumn="0" w:lastColumn="0" w:oddVBand="0" w:evenVBand="0" w:oddHBand="0" w:evenHBand="0" w:firstRowFirstColumn="0" w:firstRowLastColumn="0" w:lastRowFirstColumn="0" w:lastRowLastColumn="0"/>
            </w:pPr>
            <w:r>
              <w:t>Significant</w:t>
            </w:r>
          </w:p>
        </w:tc>
      </w:tr>
      <w:tr w:rsidR="00F21A35" w14:paraId="2D3D307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3C11A06" w14:textId="77777777" w:rsidR="00F21A35" w:rsidRDefault="00000000">
            <w:r>
              <w:t>Model 1: Pooled OLS</w:t>
            </w:r>
          </w:p>
        </w:tc>
        <w:tc>
          <w:tcPr>
            <w:tcW w:w="1560" w:type="dxa"/>
          </w:tcPr>
          <w:p w14:paraId="22101C97" w14:textId="77777777" w:rsidR="00F21A35" w:rsidRDefault="00000000">
            <w:pPr>
              <w:cnfStyle w:val="000000100000" w:firstRow="0" w:lastRow="0" w:firstColumn="0" w:lastColumn="0" w:oddVBand="0" w:evenVBand="0" w:oddHBand="1" w:evenHBand="0" w:firstRowFirstColumn="0" w:firstRowLastColumn="0" w:lastRowFirstColumn="0" w:lastRowLastColumn="0"/>
            </w:pPr>
            <w:r>
              <w:t>0.0586</w:t>
            </w:r>
          </w:p>
        </w:tc>
        <w:tc>
          <w:tcPr>
            <w:tcW w:w="1560" w:type="dxa"/>
          </w:tcPr>
          <w:p w14:paraId="5F25A079" w14:textId="77777777" w:rsidR="00F21A35" w:rsidRDefault="00000000">
            <w:pPr>
              <w:cnfStyle w:val="000000100000" w:firstRow="0" w:lastRow="0" w:firstColumn="0" w:lastColumn="0" w:oddVBand="0" w:evenVBand="0" w:oddHBand="1" w:evenHBand="0" w:firstRowFirstColumn="0" w:firstRowLastColumn="0" w:lastRowFirstColumn="0" w:lastRowLastColumn="0"/>
            </w:pPr>
            <w:r>
              <w:t>0.0294</w:t>
            </w:r>
          </w:p>
        </w:tc>
        <w:tc>
          <w:tcPr>
            <w:tcW w:w="1560" w:type="dxa"/>
          </w:tcPr>
          <w:p w14:paraId="418A3712" w14:textId="77777777" w:rsidR="00F21A35" w:rsidRDefault="00000000">
            <w:pPr>
              <w:cnfStyle w:val="000000100000" w:firstRow="0" w:lastRow="0" w:firstColumn="0" w:lastColumn="0" w:oddVBand="0" w:evenVBand="0" w:oddHBand="1" w:evenHBand="0" w:firstRowFirstColumn="0" w:firstRowLastColumn="0" w:lastRowFirstColumn="0" w:lastRowLastColumn="0"/>
            </w:pPr>
            <w:r>
              <w:t>0.047</w:t>
            </w:r>
          </w:p>
        </w:tc>
        <w:tc>
          <w:tcPr>
            <w:tcW w:w="1560" w:type="dxa"/>
          </w:tcPr>
          <w:p w14:paraId="6E6F83B4" w14:textId="77777777" w:rsidR="00F21A35" w:rsidRDefault="00000000">
            <w:pPr>
              <w:cnfStyle w:val="000000100000" w:firstRow="0" w:lastRow="0" w:firstColumn="0" w:lastColumn="0" w:oddVBand="0" w:evenVBand="0" w:oddHBand="1" w:evenHBand="0" w:firstRowFirstColumn="0" w:firstRowLastColumn="0" w:lastRowFirstColumn="0" w:lastRowLastColumn="0"/>
            </w:pPr>
            <w:r>
              <w:t>+6.03%</w:t>
            </w:r>
          </w:p>
        </w:tc>
        <w:tc>
          <w:tcPr>
            <w:tcW w:w="1560" w:type="dxa"/>
          </w:tcPr>
          <w:p w14:paraId="471C8C3F" w14:textId="77777777" w:rsidR="00F21A35" w:rsidRDefault="00000000">
            <w:pPr>
              <w:cnfStyle w:val="000000100000" w:firstRow="0" w:lastRow="0" w:firstColumn="0" w:lastColumn="0" w:oddVBand="0" w:evenVBand="0" w:oddHBand="1" w:evenHBand="0" w:firstRowFirstColumn="0" w:firstRowLastColumn="0" w:lastRowFirstColumn="0" w:lastRowLastColumn="0"/>
            </w:pPr>
            <w:r>
              <w:t>Yes**</w:t>
            </w:r>
          </w:p>
        </w:tc>
      </w:tr>
      <w:tr w:rsidR="00F21A35" w14:paraId="33DD90B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F792E6F" w14:textId="77777777" w:rsidR="00F21A35" w:rsidRDefault="00000000">
            <w:r>
              <w:t>Model 2: Two-Way FE</w:t>
            </w:r>
          </w:p>
        </w:tc>
        <w:tc>
          <w:tcPr>
            <w:tcW w:w="1560" w:type="dxa"/>
          </w:tcPr>
          <w:p w14:paraId="06F70CB4" w14:textId="77777777" w:rsidR="00F21A35" w:rsidRDefault="00000000">
            <w:pPr>
              <w:cnfStyle w:val="000000010000" w:firstRow="0" w:lastRow="0" w:firstColumn="0" w:lastColumn="0" w:oddVBand="0" w:evenVBand="0" w:oddHBand="0" w:evenHBand="1" w:firstRowFirstColumn="0" w:firstRowLastColumn="0" w:lastRowFirstColumn="0" w:lastRowLastColumn="0"/>
            </w:pPr>
            <w:r>
              <w:t>0.0586</w:t>
            </w:r>
          </w:p>
        </w:tc>
        <w:tc>
          <w:tcPr>
            <w:tcW w:w="1560" w:type="dxa"/>
          </w:tcPr>
          <w:p w14:paraId="4EAF0798" w14:textId="77777777" w:rsidR="00F21A35" w:rsidRDefault="00000000">
            <w:pPr>
              <w:cnfStyle w:val="000000010000" w:firstRow="0" w:lastRow="0" w:firstColumn="0" w:lastColumn="0" w:oddVBand="0" w:evenVBand="0" w:oddHBand="0" w:evenHBand="1" w:firstRowFirstColumn="0" w:firstRowLastColumn="0" w:lastRowFirstColumn="0" w:lastRowLastColumn="0"/>
            </w:pPr>
            <w:r>
              <w:t>0.0294</w:t>
            </w:r>
          </w:p>
        </w:tc>
        <w:tc>
          <w:tcPr>
            <w:tcW w:w="1560" w:type="dxa"/>
          </w:tcPr>
          <w:p w14:paraId="2BC32085" w14:textId="77777777" w:rsidR="00F21A35" w:rsidRDefault="00000000">
            <w:pPr>
              <w:cnfStyle w:val="000000010000" w:firstRow="0" w:lastRow="0" w:firstColumn="0" w:lastColumn="0" w:oddVBand="0" w:evenVBand="0" w:oddHBand="0" w:evenHBand="1" w:firstRowFirstColumn="0" w:firstRowLastColumn="0" w:lastRowFirstColumn="0" w:lastRowLastColumn="0"/>
            </w:pPr>
            <w:r>
              <w:t>0.047</w:t>
            </w:r>
          </w:p>
        </w:tc>
        <w:tc>
          <w:tcPr>
            <w:tcW w:w="1560" w:type="dxa"/>
          </w:tcPr>
          <w:p w14:paraId="77C36109" w14:textId="77777777" w:rsidR="00F21A35" w:rsidRDefault="00000000">
            <w:pPr>
              <w:cnfStyle w:val="000000010000" w:firstRow="0" w:lastRow="0" w:firstColumn="0" w:lastColumn="0" w:oddVBand="0" w:evenVBand="0" w:oddHBand="0" w:evenHBand="1" w:firstRowFirstColumn="0" w:firstRowLastColumn="0" w:lastRowFirstColumn="0" w:lastRowLastColumn="0"/>
            </w:pPr>
            <w:r>
              <w:t>+6.03%</w:t>
            </w:r>
          </w:p>
        </w:tc>
        <w:tc>
          <w:tcPr>
            <w:tcW w:w="1560" w:type="dxa"/>
          </w:tcPr>
          <w:p w14:paraId="1D6E847E" w14:textId="77777777" w:rsidR="00F21A35"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5606A0FD" w14:textId="77777777" w:rsidR="00F21A35" w:rsidRDefault="00F21A35"/>
    <w:p w14:paraId="575AED30" w14:textId="77777777" w:rsidR="00F21A35" w:rsidRDefault="00000000">
      <w:r>
        <w:t>The February analysis yields remarkably consistent results with the staggered analysis: a 6.0% increase in player counts (p=0.047), nearly identical to the 6.2% effect from the staggered design. The convergence of Model 1 and Model 2 estimates in this analysis suggests more balanced treatment and control composition, with less severe selection bias. This consistency across different samples, time granularities (weekly vs monthly), and observation windows strengthens confidence in our main finding of a modest positive treatment effect.</w:t>
      </w:r>
    </w:p>
    <w:p w14:paraId="564A3E20" w14:textId="77777777" w:rsidR="00F21A35" w:rsidRDefault="00000000">
      <w:pPr>
        <w:pStyle w:val="berschrift2"/>
      </w:pPr>
      <w:bookmarkStart w:id="34" w:name="_Toc221461999"/>
      <w:r>
        <w:lastRenderedPageBreak/>
        <w:t>3.3 Parallel Trends Validation</w:t>
      </w:r>
      <w:bookmarkEnd w:id="34"/>
    </w:p>
    <w:p w14:paraId="793E3CD8" w14:textId="77777777" w:rsidR="00F21A35" w:rsidRDefault="00000000">
      <w:r>
        <w:t>Visual inspection of parallel trends plots confirms that treatment and control groups follow similar trajectories in the pre-treatment period for both analyses. The 95% confidence intervals overlap substantially before treatment, supporting the identifying assumption required for causal interpretation. While formal pre-trend tests have limited statistical power given our short pre-treatment windows, the visual evidence provides reassurance that the parallel trends assumption is plausible.</w:t>
      </w:r>
    </w:p>
    <w:p w14:paraId="63B127E6" w14:textId="77777777" w:rsidR="00F21A35" w:rsidRDefault="00F21A35"/>
    <w:p w14:paraId="1E547F18" w14:textId="77777777" w:rsidR="00F21A35" w:rsidRDefault="00000000">
      <w:r>
        <w:rPr>
          <w:noProof/>
        </w:rPr>
        <w:drawing>
          <wp:inline distT="0" distB="0" distL="0" distR="0" wp14:anchorId="71C32599" wp14:editId="668656FD">
            <wp:extent cx="5029200" cy="286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gered_parallel_trends_model2.png"/>
                    <pic:cNvPicPr/>
                  </pic:nvPicPr>
                  <pic:blipFill>
                    <a:blip r:embed="rId12"/>
                    <a:stretch>
                      <a:fillRect/>
                    </a:stretch>
                  </pic:blipFill>
                  <pic:spPr>
                    <a:xfrm>
                      <a:off x="0" y="0"/>
                      <a:ext cx="5029200" cy="2862460"/>
                    </a:xfrm>
                    <a:prstGeom prst="rect">
                      <a:avLst/>
                    </a:prstGeom>
                  </pic:spPr>
                </pic:pic>
              </a:graphicData>
            </a:graphic>
          </wp:inline>
        </w:drawing>
      </w:r>
    </w:p>
    <w:p w14:paraId="2A9C7BB6" w14:textId="77777777" w:rsidR="00F21A35" w:rsidRDefault="00000000">
      <w:pPr>
        <w:pStyle w:val="Beschriftung"/>
        <w:jc w:val="center"/>
      </w:pPr>
      <w:r>
        <w:t>Figure 1: Parallel Trends - Staggered Analysis (Model 2)</w:t>
      </w:r>
    </w:p>
    <w:p w14:paraId="5042AD3D" w14:textId="77777777" w:rsidR="00F21A35" w:rsidRDefault="00F21A35"/>
    <w:p w14:paraId="28FCD8E0" w14:textId="77777777" w:rsidR="00F21A35" w:rsidRDefault="00000000">
      <w:r>
        <w:rPr>
          <w:noProof/>
        </w:rPr>
        <w:lastRenderedPageBreak/>
        <w:drawing>
          <wp:inline distT="0" distB="0" distL="0" distR="0" wp14:anchorId="4AC42437" wp14:editId="61AE38EE">
            <wp:extent cx="5029200" cy="3517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bruary_2025_did_coefficient_plot.png"/>
                    <pic:cNvPicPr/>
                  </pic:nvPicPr>
                  <pic:blipFill>
                    <a:blip r:embed="rId13"/>
                    <a:stretch>
                      <a:fillRect/>
                    </a:stretch>
                  </pic:blipFill>
                  <pic:spPr>
                    <a:xfrm>
                      <a:off x="0" y="0"/>
                      <a:ext cx="5029200" cy="3517896"/>
                    </a:xfrm>
                    <a:prstGeom prst="rect">
                      <a:avLst/>
                    </a:prstGeom>
                  </pic:spPr>
                </pic:pic>
              </a:graphicData>
            </a:graphic>
          </wp:inline>
        </w:drawing>
      </w:r>
    </w:p>
    <w:p w14:paraId="0718C971" w14:textId="77777777" w:rsidR="00F21A35" w:rsidRDefault="00000000">
      <w:pPr>
        <w:pStyle w:val="Beschriftung"/>
        <w:jc w:val="center"/>
      </w:pPr>
      <w:r>
        <w:t>Figure 2: DiD Coefficient Estimates - February 2025 Analysis</w:t>
      </w:r>
    </w:p>
    <w:p w14:paraId="5CF4B324" w14:textId="77777777" w:rsidR="00F21A35" w:rsidRDefault="00F21A35"/>
    <w:p w14:paraId="328943AC" w14:textId="77777777" w:rsidR="00F21A35" w:rsidRDefault="00000000">
      <w:r>
        <w:rPr>
          <w:noProof/>
        </w:rPr>
        <w:drawing>
          <wp:inline distT="0" distB="0" distL="0" distR="0" wp14:anchorId="73CAF253" wp14:editId="4BBF619F">
            <wp:extent cx="5029200" cy="2857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gered_event_study_calendar_time.png"/>
                    <pic:cNvPicPr/>
                  </pic:nvPicPr>
                  <pic:blipFill>
                    <a:blip r:embed="rId14"/>
                    <a:stretch>
                      <a:fillRect/>
                    </a:stretch>
                  </pic:blipFill>
                  <pic:spPr>
                    <a:xfrm>
                      <a:off x="0" y="0"/>
                      <a:ext cx="5029200" cy="2857281"/>
                    </a:xfrm>
                    <a:prstGeom prst="rect">
                      <a:avLst/>
                    </a:prstGeom>
                  </pic:spPr>
                </pic:pic>
              </a:graphicData>
            </a:graphic>
          </wp:inline>
        </w:drawing>
      </w:r>
    </w:p>
    <w:p w14:paraId="56F5DDEC" w14:textId="77777777" w:rsidR="00F21A35" w:rsidRDefault="00000000">
      <w:pPr>
        <w:pStyle w:val="Beschriftung"/>
        <w:jc w:val="center"/>
      </w:pPr>
      <w:r>
        <w:t>Figure 3: Event Study - Staggered Analysis with Treatment Timing Indicators</w:t>
      </w:r>
    </w:p>
    <w:p w14:paraId="314F88AB" w14:textId="77777777" w:rsidR="00F21A35" w:rsidRDefault="00F21A35"/>
    <w:p w14:paraId="533ACB1B" w14:textId="77777777" w:rsidR="00F21A35" w:rsidRDefault="00000000">
      <w:r>
        <w:rPr>
          <w:noProof/>
        </w:rPr>
        <w:lastRenderedPageBreak/>
        <w:drawing>
          <wp:inline distT="0" distB="0" distL="0" distR="0" wp14:anchorId="0810FA31" wp14:editId="0E5ACCB9">
            <wp:extent cx="5029200" cy="2177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bruary_2025_did_coefficients_over_time.png"/>
                    <pic:cNvPicPr/>
                  </pic:nvPicPr>
                  <pic:blipFill>
                    <a:blip r:embed="rId15"/>
                    <a:stretch>
                      <a:fillRect/>
                    </a:stretch>
                  </pic:blipFill>
                  <pic:spPr>
                    <a:xfrm>
                      <a:off x="0" y="0"/>
                      <a:ext cx="5029200" cy="2177908"/>
                    </a:xfrm>
                    <a:prstGeom prst="rect">
                      <a:avLst/>
                    </a:prstGeom>
                  </pic:spPr>
                </pic:pic>
              </a:graphicData>
            </a:graphic>
          </wp:inline>
        </w:drawing>
      </w:r>
    </w:p>
    <w:p w14:paraId="118EB37D" w14:textId="77777777" w:rsidR="00F21A35" w:rsidRDefault="00000000">
      <w:pPr>
        <w:pStyle w:val="Beschriftung"/>
        <w:jc w:val="center"/>
      </w:pPr>
      <w:r>
        <w:t>Figure 4: DiD Coefficients Over Time - February 2025 (4 Weeks)</w:t>
      </w:r>
    </w:p>
    <w:p w14:paraId="2A886C5F" w14:textId="77777777" w:rsidR="00F21A35" w:rsidRDefault="00000000">
      <w:r>
        <w:br w:type="page"/>
      </w:r>
    </w:p>
    <w:p w14:paraId="4EB2478F" w14:textId="77777777" w:rsidR="00F21A35" w:rsidRDefault="00000000">
      <w:pPr>
        <w:pStyle w:val="berschrift1"/>
      </w:pPr>
      <w:bookmarkStart w:id="35" w:name="_Toc221462000"/>
      <w:r>
        <w:lastRenderedPageBreak/>
        <w:t>4. Conclusion</w:t>
      </w:r>
      <w:bookmarkEnd w:id="35"/>
    </w:p>
    <w:p w14:paraId="28702AFE" w14:textId="77777777" w:rsidR="00F21A35" w:rsidRDefault="00000000">
      <w:pPr>
        <w:pStyle w:val="berschrift2"/>
      </w:pPr>
      <w:bookmarkStart w:id="36" w:name="_Toc221462001"/>
      <w:r>
        <w:t>4.1 Main Findings</w:t>
      </w:r>
      <w:bookmarkEnd w:id="36"/>
    </w:p>
    <w:p w14:paraId="722E1748" w14:textId="77777777" w:rsidR="00F21A35" w:rsidRDefault="00000000">
      <w:r>
        <w:t>This study provides rigorous causal evidence on the impact of major game patches on player engagement in Steam games. Using difference-in-differences methodology with two complementary research designs—a staggered DiD analysis covering 320 games over 5 months and a February 2025 single-cohort analysis of 145 games over 4 weeks—we reach three principal conclusions.</w:t>
      </w:r>
    </w:p>
    <w:p w14:paraId="6D400A28" w14:textId="77777777" w:rsidR="00F21A35" w:rsidRDefault="00000000">
      <w:r>
        <w:rPr>
          <w:b/>
        </w:rPr>
        <w:t xml:space="preserve">First, </w:t>
      </w:r>
      <w:r>
        <w:t>major game patches causally increase average concurrent player counts by approximately 6%. This effect is statistically significant (p=0.044 in staggered analysis, p=0.047 in February analysis) and remarkably consistent across different samples, time granularities, and observation windows. For a game with 10,000 average concurrent players, this translates to approximately 600 additional players following a major patch release.</w:t>
      </w:r>
    </w:p>
    <w:p w14:paraId="4CD29B0A" w14:textId="77777777" w:rsidR="00F21A35" w:rsidRDefault="00000000">
      <w:r>
        <w:rPr>
          <w:b/>
        </w:rPr>
        <w:t xml:space="preserve">Second, </w:t>
      </w:r>
      <w:r>
        <w:t>naive comparisons that fail to control for selection bias dramatically overestimate treatment effects. Our pooled OLS specification (Model 1) yields an effect size of 41%, more than six times larger than the true causal estimate of 6% obtained from our two-way fixed effects specification (Model 2). This 35 percentage point bias arises because games that receive major patches differ systematically from those that do not—likely reflecting differences in developer resources, game quality, and existing player engagement. The fixed effects approach eliminates this bias by controlling for all time-invariant game characteristics and aggregate time shocks.</w:t>
      </w:r>
    </w:p>
    <w:p w14:paraId="4692A7DF" w14:textId="77777777" w:rsidR="00F21A35" w:rsidRDefault="00000000">
      <w:r>
        <w:rPr>
          <w:b/>
        </w:rPr>
        <w:t xml:space="preserve">Third, </w:t>
      </w:r>
      <w:r>
        <w:t>treatment effects are homogeneous across different patch release timings. Analysis of cohort-specific effects reveals consistent effect sizes (3-8%) for patches released in January, February, March, and April 2025, with no statistically significant heterogeneity. This suggests that the player engagement response to major patches does not depend critically on seasonal timing within our observation window.</w:t>
      </w:r>
    </w:p>
    <w:p w14:paraId="033EFCAB" w14:textId="77777777" w:rsidR="00F21A35" w:rsidRDefault="00000000">
      <w:pPr>
        <w:pStyle w:val="berschrift2"/>
      </w:pPr>
      <w:bookmarkStart w:id="37" w:name="_Toc221462002"/>
      <w:r>
        <w:t>4.2 Implications for Game Developers</w:t>
      </w:r>
      <w:bookmarkEnd w:id="37"/>
    </w:p>
    <w:p w14:paraId="226FD9C1" w14:textId="77777777" w:rsidR="00F21A35" w:rsidRDefault="00000000">
      <w:r>
        <w:t>Our findings carry important implications for game development strategy and post-launch support decisions. While major patches do increase player engagement, the effect is modest in magnitude. Developers should maintain realistic expectations: a 6% player increase is meaningful but far from transformative. For smaller indie games with limited resources, the cost-benefit calculation of major patch development must account for this modest return.</w:t>
      </w:r>
    </w:p>
    <w:p w14:paraId="38018C58" w14:textId="77777777" w:rsidR="00F21A35" w:rsidRDefault="00000000">
      <w:r>
        <w:t>Moreover, our results highlight that baseline game quality—as measured by review scores—is a far stronger driver of player engagement than post-launch patches. A 10-point improvement in review score predicts a 435% increase in player counts, dwarfing the 6% effect of major patches. This suggests that developers should prioritize initial game quality over reactive patching strategies. Patches are valuable for maintaining engagement in already-successful games, but they cannot substitute for fundamental quality.</w:t>
      </w:r>
    </w:p>
    <w:p w14:paraId="2E71E489" w14:textId="77777777" w:rsidR="00F21A35" w:rsidRDefault="00000000">
      <w:r>
        <w:t>The consistency of treatment effects across different release timings suggests that developers have flexibility in scheduling major patches without sacrificing effectiveness. There is no evidence that patches released in particular months yield systematically larger player engagement responses.</w:t>
      </w:r>
    </w:p>
    <w:p w14:paraId="62592A11" w14:textId="77777777" w:rsidR="00F21A35" w:rsidRDefault="00000000">
      <w:pPr>
        <w:pStyle w:val="berschrift2"/>
      </w:pPr>
      <w:bookmarkStart w:id="38" w:name="_Toc221462003"/>
      <w:r>
        <w:lastRenderedPageBreak/>
        <w:t>4.3 Methodological Contributions</w:t>
      </w:r>
      <w:bookmarkEnd w:id="38"/>
    </w:p>
    <w:p w14:paraId="11AFC743" w14:textId="77777777" w:rsidR="00F21A35" w:rsidRDefault="00000000">
      <w:r>
        <w:t>Beyond substantive findings about patch effects, this study makes several methodological contributions to the analysis of video game markets. We demonstrate the critical importance of controlling for selection bias in observational studies of game updates, showing that naive approaches can overstate effects by an order of magnitude. The two-way fixed effects approach we employ—standard in labor and public economics—merits wider adoption in game industry research.</w:t>
      </w:r>
    </w:p>
    <w:p w14:paraId="1F7C1D33" w14:textId="77777777" w:rsidR="00F21A35" w:rsidRDefault="00000000">
      <w:r>
        <w:t>Our dual research design, combining staggered DiD and single-cohort analyses, provides a template for robustness checking in game analytics. The remarkable consistency of results across these complementary approaches (6.2% vs 6.0%) strengthens causal claims and illustrates the value of triangulating evidence from multiple identification strategies.</w:t>
      </w:r>
    </w:p>
    <w:p w14:paraId="7778E86B" w14:textId="77777777" w:rsidR="00F21A35" w:rsidRDefault="00000000">
      <w:r>
        <w:t>Finally, we show that SteamCharts data, combined with Steam's public APIs, can support rigorous causal inference for a wide range of research questions in game markets. The data collection pipeline and quality verification procedures we document can be adapted to study other interventions such as sales, content updates, or platform changes.</w:t>
      </w:r>
    </w:p>
    <w:p w14:paraId="7479483B" w14:textId="77777777" w:rsidR="00F21A35" w:rsidRDefault="00000000">
      <w:pPr>
        <w:pStyle w:val="berschrift2"/>
      </w:pPr>
      <w:bookmarkStart w:id="39" w:name="_Toc221462004"/>
      <w:r>
        <w:t>4.4 Limitations and Future Research</w:t>
      </w:r>
      <w:bookmarkEnd w:id="39"/>
    </w:p>
    <w:p w14:paraId="6BD4E6E8" w14:textId="77777777" w:rsidR="00F21A35" w:rsidRDefault="00000000">
      <w:r>
        <w:t>Several limitations should inform interpretation of our findings. First, our outcome measure—average concurrent players—captures only one dimension of player engagement. Future research should examine other metrics such as total playtime, session frequency, retention rates, and revenue. Patches may affect these outcomes differently, and the business case for patching depends on revenue impacts that we do not observe.</w:t>
      </w:r>
    </w:p>
    <w:p w14:paraId="61AB4CA3" w14:textId="77777777" w:rsidR="00F21A35" w:rsidRDefault="00000000">
      <w:r>
        <w:t>Second, we treat all 'major patches' as homogeneous interventions, but patch content varies enormously—from pure bug fixes to expansive new content releases. Future work should distinguish patch types and estimate content-specific effects. We expect that patches adding substantive new features or content yield larger engagement effects than technical updates.</w:t>
      </w:r>
    </w:p>
    <w:p w14:paraId="03A7FAE3" w14:textId="77777777" w:rsidR="00F21A35" w:rsidRDefault="00000000">
      <w:r>
        <w:t>Third, our sample selection process—requiring complete SteamCharts data for all time periods—likely excludes smaller games with minimal player tracking. Results may not generalize to indie games with player counts below SteamCharts' tracking threshold. Moreover, our focus on Steam PC games means findings may not apply to mobile, console, or other gaming platforms with different player dynamics.</w:t>
      </w:r>
    </w:p>
    <w:p w14:paraId="5E5078A1" w14:textId="77777777" w:rsidR="00F21A35" w:rsidRDefault="00000000">
      <w:r>
        <w:t>Fourth, our observation window is limited to 5 months maximum. We cannot assess whether the measured effects persist over longer horizons or dissipate as players exhaust new content. Longitudinal studies tracking games for 6-12 months post-patch would clarify the durability of treatment effects.</w:t>
      </w:r>
    </w:p>
    <w:p w14:paraId="5030B219" w14:textId="77777777" w:rsidR="00F21A35" w:rsidRDefault="00000000">
      <w:r>
        <w:t xml:space="preserve">Future research directions include: (1) heterogeneous effects by game genre, distinguishing multiplayer competitive games from single-player narrative games; (2) mechanisms underlying patch effects, separating actual content improvement from media attention and community hype; (3) interaction effects between patches and other marketing activities such as sales or promotions; </w:t>
      </w:r>
      <w:r>
        <w:lastRenderedPageBreak/>
        <w:t>(4) spillover effects on competing games in the same genre; and (5) optimal patching frequency and timing strategies.</w:t>
      </w:r>
    </w:p>
    <w:p w14:paraId="772D3B5A" w14:textId="77777777" w:rsidR="00F21A35" w:rsidRDefault="00000000">
      <w:pPr>
        <w:pStyle w:val="berschrift2"/>
      </w:pPr>
      <w:bookmarkStart w:id="40" w:name="_Toc221462005"/>
      <w:r>
        <w:t>4.5 Concluding Remarks</w:t>
      </w:r>
      <w:bookmarkEnd w:id="40"/>
    </w:p>
    <w:p w14:paraId="1D4AD678" w14:textId="77777777" w:rsidR="00F21A35" w:rsidRDefault="00000000">
      <w:r>
        <w:t>This study provides credible causal evidence that major game patches modestly but significantly increase player engagement in Steam games. The 6% effect we estimate is policy-relevant for developers making post-launch support decisions, while highlighting that patches alone cannot compensate for fundamental game quality deficits. Methodologically, we demonstrate the severe selection bias present in naive comparisons and the necessity of fixed effects approaches for credible causal inference in observational game data.</w:t>
      </w:r>
    </w:p>
    <w:p w14:paraId="5B128D4A" w14:textId="77777777" w:rsidR="00F21A35" w:rsidRDefault="00000000">
      <w:r>
        <w:t>As the gaming industry increasingly adopts 'games as a service' models with continuous post-launch updates, understanding the causal effects of these interventions becomes crucial for strategic planning. Our findings suggest that while patches contribute to player retention, their effects are incremental rather than transformative. Developer resources may be better invested in maximizing initial quality than in reactive patching, though the optimal balance depends on game-specific characteristics and business models that merit further investigation.</w:t>
      </w:r>
    </w:p>
    <w:p w14:paraId="1C097AD6" w14:textId="77777777" w:rsidR="00005E71" w:rsidRDefault="00005E71"/>
    <w:p w14:paraId="43FBB00B" w14:textId="77777777" w:rsidR="00005E71" w:rsidRPr="00005E71" w:rsidRDefault="00005E71" w:rsidP="00005E71">
      <w:pPr>
        <w:pStyle w:val="berschrift1"/>
        <w:rPr>
          <w:lang w:val="de-DE"/>
        </w:rPr>
      </w:pPr>
      <w:bookmarkStart w:id="41" w:name="_Toc220504189"/>
      <w:r w:rsidRPr="00005E71">
        <w:rPr>
          <w:lang w:val="de-DE"/>
        </w:rPr>
        <w:t>Sources</w:t>
      </w:r>
      <w:bookmarkEnd w:id="41"/>
    </w:p>
    <w:p w14:paraId="299D7981" w14:textId="77777777" w:rsidR="00005E71" w:rsidRPr="00D604C6" w:rsidRDefault="00005E71" w:rsidP="00005E71">
      <w:pPr>
        <w:pStyle w:val="Literaturverzeichnis"/>
        <w:rPr>
          <w:rFonts w:ascii="Cambria" w:hAnsi="Cambria"/>
        </w:rPr>
      </w:pPr>
      <w:r>
        <w:rPr>
          <w:lang w:val="en-US"/>
        </w:rPr>
        <w:fldChar w:fldCharType="begin"/>
      </w:r>
      <w:r w:rsidRPr="0022430C">
        <w:rPr>
          <w:lang w:val="de-DE"/>
        </w:rPr>
        <w:instrText xml:space="preserve"> ADDIN ZOTERO_BIBL {"uncited":[],"omitted":[],"custom":[]} CSL_BIBLIOGRAPHY </w:instrText>
      </w:r>
      <w:r>
        <w:rPr>
          <w:lang w:val="en-US"/>
        </w:rPr>
        <w:fldChar w:fldCharType="separate"/>
      </w:r>
      <w:r w:rsidRPr="0022430C">
        <w:rPr>
          <w:rFonts w:ascii="Cambria" w:hAnsi="Cambria"/>
          <w:lang w:val="de-DE"/>
        </w:rPr>
        <w:t xml:space="preserve">Fleischmann, M., Amirpur, M., Grupp, T., Benlian, A., &amp; Hess, T. (2016). </w:t>
      </w:r>
      <w:r w:rsidRPr="00D604C6">
        <w:rPr>
          <w:rFonts w:ascii="Cambria" w:hAnsi="Cambria"/>
        </w:rPr>
        <w:t xml:space="preserve">The role of software updates in information systems continuance—An experimental study from a user perspective. </w:t>
      </w:r>
      <w:r w:rsidRPr="00D604C6">
        <w:rPr>
          <w:rFonts w:ascii="Cambria" w:hAnsi="Cambria"/>
          <w:i/>
          <w:iCs/>
        </w:rPr>
        <w:t>Decision Support Systems</w:t>
      </w:r>
      <w:r w:rsidRPr="00D604C6">
        <w:rPr>
          <w:rFonts w:ascii="Cambria" w:hAnsi="Cambria"/>
        </w:rPr>
        <w:t xml:space="preserve">, </w:t>
      </w:r>
      <w:r w:rsidRPr="00D604C6">
        <w:rPr>
          <w:rFonts w:ascii="Cambria" w:hAnsi="Cambria"/>
          <w:i/>
          <w:iCs/>
        </w:rPr>
        <w:t>83</w:t>
      </w:r>
      <w:r w:rsidRPr="00D604C6">
        <w:rPr>
          <w:rFonts w:ascii="Cambria" w:hAnsi="Cambria"/>
        </w:rPr>
        <w:t>, 83–96. https://doi.org/10.1016/j.dss.2015.12.010</w:t>
      </w:r>
    </w:p>
    <w:p w14:paraId="194B05BC" w14:textId="77777777" w:rsidR="00005E71" w:rsidRPr="00D604C6" w:rsidRDefault="00005E71" w:rsidP="00005E71">
      <w:pPr>
        <w:pStyle w:val="Literaturverzeichnis"/>
        <w:rPr>
          <w:rFonts w:ascii="Cambria" w:hAnsi="Cambria"/>
        </w:rPr>
      </w:pPr>
      <w:r w:rsidRPr="00D604C6">
        <w:rPr>
          <w:rFonts w:ascii="Cambria" w:hAnsi="Cambria"/>
        </w:rPr>
        <w:t xml:space="preserve">H, D., &amp; C, B. (2001). The Attention economy. </w:t>
      </w:r>
      <w:r w:rsidRPr="00D604C6">
        <w:rPr>
          <w:rFonts w:ascii="Cambria" w:hAnsi="Cambria"/>
          <w:i/>
          <w:iCs/>
        </w:rPr>
        <w:t>Ubiquity</w:t>
      </w:r>
      <w:r w:rsidRPr="00D604C6">
        <w:rPr>
          <w:rFonts w:ascii="Cambria" w:hAnsi="Cambria"/>
        </w:rPr>
        <w:t>. (New York, NY, USA). https://doi.org/10.1145/375348.376626</w:t>
      </w:r>
    </w:p>
    <w:p w14:paraId="6E27B5CA" w14:textId="77777777" w:rsidR="00005E71" w:rsidRPr="00D604C6" w:rsidRDefault="00005E71" w:rsidP="00005E71">
      <w:pPr>
        <w:pStyle w:val="Literaturverzeichnis"/>
        <w:rPr>
          <w:rFonts w:ascii="Cambria" w:hAnsi="Cambria"/>
        </w:rPr>
      </w:pPr>
      <w:r w:rsidRPr="00D604C6">
        <w:rPr>
          <w:rFonts w:ascii="Cambria" w:hAnsi="Cambria"/>
        </w:rPr>
        <w:t xml:space="preserve">Hamari, J., Alha, K., Järvelä, S., Kivikangas, J. M., Koivisto, J., &amp; Paavilainen, J. (2017). Why do players buy in-game content? An empirical study on concrete purchase motivations. </w:t>
      </w:r>
      <w:r w:rsidRPr="00D604C6">
        <w:rPr>
          <w:rFonts w:ascii="Cambria" w:hAnsi="Cambria"/>
          <w:i/>
          <w:iCs/>
        </w:rPr>
        <w:t>Computers in Human Behavior</w:t>
      </w:r>
      <w:r w:rsidRPr="00D604C6">
        <w:rPr>
          <w:rFonts w:ascii="Cambria" w:hAnsi="Cambria"/>
        </w:rPr>
        <w:t xml:space="preserve">, </w:t>
      </w:r>
      <w:r w:rsidRPr="00D604C6">
        <w:rPr>
          <w:rFonts w:ascii="Cambria" w:hAnsi="Cambria"/>
          <w:i/>
          <w:iCs/>
        </w:rPr>
        <w:t>68</w:t>
      </w:r>
      <w:r w:rsidRPr="00D604C6">
        <w:rPr>
          <w:rFonts w:ascii="Cambria" w:hAnsi="Cambria"/>
        </w:rPr>
        <w:t>, 538–546. https://doi.org/10.1016/j.chb.2016.11.045</w:t>
      </w:r>
    </w:p>
    <w:p w14:paraId="047604F1" w14:textId="77777777" w:rsidR="00005E71" w:rsidRPr="00D604C6" w:rsidRDefault="00005E71" w:rsidP="00005E71">
      <w:pPr>
        <w:pStyle w:val="Literaturverzeichnis"/>
        <w:rPr>
          <w:rFonts w:ascii="Cambria" w:hAnsi="Cambria"/>
        </w:rPr>
      </w:pPr>
      <w:r w:rsidRPr="00D604C6">
        <w:rPr>
          <w:rFonts w:ascii="Cambria" w:hAnsi="Cambria"/>
        </w:rPr>
        <w:t xml:space="preserve">Hyeong, J. H., Choi, K. J., Lee, J. Y., &amp; Pyo, T.-H. (2020). For whom does a game update? Players’ status-contingent gameplay on online games before and after an update. </w:t>
      </w:r>
      <w:r w:rsidRPr="00D604C6">
        <w:rPr>
          <w:rFonts w:ascii="Cambria" w:hAnsi="Cambria"/>
          <w:i/>
          <w:iCs/>
        </w:rPr>
        <w:t>Decision Support Systems</w:t>
      </w:r>
      <w:r w:rsidRPr="00D604C6">
        <w:rPr>
          <w:rFonts w:ascii="Cambria" w:hAnsi="Cambria"/>
        </w:rPr>
        <w:t xml:space="preserve">, </w:t>
      </w:r>
      <w:r w:rsidRPr="00D604C6">
        <w:rPr>
          <w:rFonts w:ascii="Cambria" w:hAnsi="Cambria"/>
          <w:i/>
          <w:iCs/>
        </w:rPr>
        <w:t>139</w:t>
      </w:r>
      <w:r w:rsidRPr="00D604C6">
        <w:rPr>
          <w:rFonts w:ascii="Cambria" w:hAnsi="Cambria"/>
        </w:rPr>
        <w:t>, 113423. https://doi.org/10.1016/j.dss.2020.113423</w:t>
      </w:r>
    </w:p>
    <w:p w14:paraId="3EA83D16" w14:textId="77777777" w:rsidR="00005E71" w:rsidRPr="00D604C6" w:rsidRDefault="00005E71" w:rsidP="00005E71">
      <w:pPr>
        <w:pStyle w:val="Literaturverzeichnis"/>
        <w:rPr>
          <w:rFonts w:ascii="Cambria" w:hAnsi="Cambria"/>
        </w:rPr>
      </w:pPr>
      <w:r w:rsidRPr="00D604C6">
        <w:rPr>
          <w:rFonts w:ascii="Cambria" w:hAnsi="Cambria"/>
        </w:rPr>
        <w:t xml:space="preserve">Katz, E., Blumler, J. G., &amp; Gurevitch, M. (1973). Uses and Gratifications Research. </w:t>
      </w:r>
      <w:r w:rsidRPr="00D604C6">
        <w:rPr>
          <w:rFonts w:ascii="Cambria" w:hAnsi="Cambria"/>
          <w:i/>
          <w:iCs/>
        </w:rPr>
        <w:t>The Public Opinion Quarterly</w:t>
      </w:r>
      <w:r w:rsidRPr="00D604C6">
        <w:rPr>
          <w:rFonts w:ascii="Cambria" w:hAnsi="Cambria"/>
        </w:rPr>
        <w:t xml:space="preserve">, </w:t>
      </w:r>
      <w:r w:rsidRPr="00D604C6">
        <w:rPr>
          <w:rFonts w:ascii="Cambria" w:hAnsi="Cambria"/>
          <w:i/>
          <w:iCs/>
        </w:rPr>
        <w:t>37</w:t>
      </w:r>
      <w:r w:rsidRPr="00D604C6">
        <w:rPr>
          <w:rFonts w:ascii="Cambria" w:hAnsi="Cambria"/>
        </w:rPr>
        <w:t>(4), 509–523.</w:t>
      </w:r>
    </w:p>
    <w:p w14:paraId="573C3CEC" w14:textId="77777777" w:rsidR="00005E71" w:rsidRPr="00D604C6" w:rsidRDefault="00005E71" w:rsidP="00005E71">
      <w:pPr>
        <w:pStyle w:val="Literaturverzeichnis"/>
        <w:rPr>
          <w:rFonts w:ascii="Cambria" w:hAnsi="Cambria"/>
        </w:rPr>
      </w:pPr>
      <w:r w:rsidRPr="0022430C">
        <w:rPr>
          <w:rFonts w:ascii="Cambria" w:hAnsi="Cambria"/>
          <w:lang w:val="de-DE"/>
        </w:rPr>
        <w:t xml:space="preserve">LinDayi, BezemerCor-Paul, &amp; E, H. (2017). </w:t>
      </w:r>
      <w:r w:rsidRPr="00D604C6">
        <w:rPr>
          <w:rFonts w:ascii="Cambria" w:hAnsi="Cambria"/>
        </w:rPr>
        <w:t xml:space="preserve">Studying the urgent updates of popular games on the Steam platform. </w:t>
      </w:r>
      <w:r w:rsidRPr="00D604C6">
        <w:rPr>
          <w:rFonts w:ascii="Cambria" w:hAnsi="Cambria"/>
          <w:i/>
          <w:iCs/>
        </w:rPr>
        <w:t>Empirical Software Engineering</w:t>
      </w:r>
      <w:r w:rsidRPr="00D604C6">
        <w:rPr>
          <w:rFonts w:ascii="Cambria" w:hAnsi="Cambria"/>
        </w:rPr>
        <w:t>. (Norwell, MA, USA). https://doi.org/10.1007/s10664-016-9480-2</w:t>
      </w:r>
    </w:p>
    <w:p w14:paraId="3CFA11F6" w14:textId="77777777" w:rsidR="00005E71" w:rsidRPr="00D604C6" w:rsidRDefault="00005E71" w:rsidP="00005E71">
      <w:pPr>
        <w:pStyle w:val="Literaturverzeichnis"/>
        <w:rPr>
          <w:rFonts w:ascii="Cambria" w:hAnsi="Cambria"/>
        </w:rPr>
      </w:pPr>
      <w:r w:rsidRPr="00D604C6">
        <w:rPr>
          <w:rFonts w:ascii="Cambria" w:hAnsi="Cambria"/>
        </w:rPr>
        <w:lastRenderedPageBreak/>
        <w:t xml:space="preserve">Marchand, A., &amp; Hennig-Thurau, T. (2013). Value Creation in the Video Game Industry: Industry Economics, Consumer Benefits, and Research Opportunities. </w:t>
      </w:r>
      <w:r w:rsidRPr="00D604C6">
        <w:rPr>
          <w:rFonts w:ascii="Cambria" w:hAnsi="Cambria"/>
          <w:i/>
          <w:iCs/>
        </w:rPr>
        <w:t>Journal of Interactive Marketing</w:t>
      </w:r>
      <w:r w:rsidRPr="00D604C6">
        <w:rPr>
          <w:rFonts w:ascii="Cambria" w:hAnsi="Cambria"/>
        </w:rPr>
        <w:t xml:space="preserve">, </w:t>
      </w:r>
      <w:r w:rsidRPr="00D604C6">
        <w:rPr>
          <w:rFonts w:ascii="Cambria" w:hAnsi="Cambria"/>
          <w:i/>
          <w:iCs/>
        </w:rPr>
        <w:t>27</w:t>
      </w:r>
      <w:r w:rsidRPr="00D604C6">
        <w:rPr>
          <w:rFonts w:ascii="Cambria" w:hAnsi="Cambria"/>
        </w:rPr>
        <w:t>(3), 141–157. https://doi.org/10.1016/j.intmar.2013.05.001</w:t>
      </w:r>
    </w:p>
    <w:p w14:paraId="608FD73E" w14:textId="77777777" w:rsidR="00005E71" w:rsidRPr="00D604C6" w:rsidRDefault="00005E71" w:rsidP="00005E71">
      <w:pPr>
        <w:pStyle w:val="Literaturverzeichnis"/>
        <w:rPr>
          <w:rFonts w:ascii="Cambria" w:hAnsi="Cambria"/>
        </w:rPr>
      </w:pPr>
      <w:r w:rsidRPr="00D604C6">
        <w:rPr>
          <w:rFonts w:ascii="Cambria" w:hAnsi="Cambria"/>
        </w:rPr>
        <w:t xml:space="preserve">Oliver, R. L. (1980). A Cognitive Model of the Antecedents and Consequences of Satisfaction Decisions. </w:t>
      </w:r>
      <w:r w:rsidRPr="00D604C6">
        <w:rPr>
          <w:rFonts w:ascii="Cambria" w:hAnsi="Cambria"/>
          <w:i/>
          <w:iCs/>
        </w:rPr>
        <w:t>Journal of Marketing Research</w:t>
      </w:r>
      <w:r w:rsidRPr="00D604C6">
        <w:rPr>
          <w:rFonts w:ascii="Cambria" w:hAnsi="Cambria"/>
        </w:rPr>
        <w:t xml:space="preserve">, </w:t>
      </w:r>
      <w:r w:rsidRPr="00D604C6">
        <w:rPr>
          <w:rFonts w:ascii="Cambria" w:hAnsi="Cambria"/>
          <w:i/>
          <w:iCs/>
        </w:rPr>
        <w:t>17</w:t>
      </w:r>
      <w:r w:rsidRPr="00D604C6">
        <w:rPr>
          <w:rFonts w:ascii="Cambria" w:hAnsi="Cambria"/>
        </w:rPr>
        <w:t>(4), 460–469. https://doi.org/10.1177/002224378001700405</w:t>
      </w:r>
    </w:p>
    <w:p w14:paraId="09414D4E" w14:textId="77777777" w:rsidR="00005E71" w:rsidRPr="0022430C" w:rsidRDefault="00005E71" w:rsidP="00005E71">
      <w:pPr>
        <w:pStyle w:val="Literaturverzeichnis"/>
        <w:rPr>
          <w:rFonts w:ascii="Cambria" w:hAnsi="Cambria"/>
          <w:lang w:val="de-DE"/>
        </w:rPr>
      </w:pPr>
      <w:r w:rsidRPr="00D604C6">
        <w:rPr>
          <w:rFonts w:ascii="Cambria" w:hAnsi="Cambria"/>
        </w:rPr>
        <w:t xml:space="preserve">Preston-Werner, T. (o. J.). </w:t>
      </w:r>
      <w:r w:rsidRPr="0022430C">
        <w:rPr>
          <w:rFonts w:ascii="Cambria" w:hAnsi="Cambria"/>
          <w:i/>
          <w:lang w:val="de-DE"/>
        </w:rPr>
        <w:t>Semantic Versioning 2.0.0</w:t>
      </w:r>
      <w:r w:rsidRPr="0022430C">
        <w:rPr>
          <w:rFonts w:ascii="Cambria" w:hAnsi="Cambria"/>
          <w:lang w:val="de-DE"/>
        </w:rPr>
        <w:t>. Semantic Versioning. Abgerufen 21. Januar 2026, von https://semver.org/</w:t>
      </w:r>
    </w:p>
    <w:p w14:paraId="293F4C67" w14:textId="77777777" w:rsidR="00005E71" w:rsidRPr="0022430C" w:rsidRDefault="00005E71" w:rsidP="00005E71">
      <w:pPr>
        <w:pStyle w:val="Literaturverzeichnis"/>
        <w:rPr>
          <w:rFonts w:ascii="Cambria" w:hAnsi="Cambria"/>
          <w:lang w:val="de-DE"/>
        </w:rPr>
      </w:pPr>
      <w:r w:rsidRPr="00D604C6">
        <w:rPr>
          <w:rFonts w:ascii="Cambria" w:hAnsi="Cambria"/>
          <w:i/>
          <w:iCs/>
        </w:rPr>
        <w:t>SteamDB - FAQ</w:t>
      </w:r>
      <w:r w:rsidRPr="00D604C6">
        <w:rPr>
          <w:rFonts w:ascii="Cambria" w:hAnsi="Cambria"/>
        </w:rPr>
        <w:t xml:space="preserve">. (o. J.). SteamDB. </w:t>
      </w:r>
      <w:r w:rsidRPr="0022430C">
        <w:rPr>
          <w:rFonts w:ascii="Cambria" w:hAnsi="Cambria"/>
          <w:lang w:val="de-DE"/>
        </w:rPr>
        <w:t>Abgerufen 21. Januar 2026, von https://steamdb.info/faq/</w:t>
      </w:r>
    </w:p>
    <w:p w14:paraId="7C62E58E" w14:textId="77777777" w:rsidR="00005E71" w:rsidRPr="0022430C" w:rsidRDefault="00005E71" w:rsidP="00005E71">
      <w:pPr>
        <w:pStyle w:val="Literaturverzeichnis"/>
        <w:rPr>
          <w:rFonts w:ascii="Cambria" w:hAnsi="Cambria"/>
          <w:lang w:val="de-DE"/>
        </w:rPr>
      </w:pPr>
      <w:r w:rsidRPr="00D604C6">
        <w:rPr>
          <w:rFonts w:ascii="Cambria" w:hAnsi="Cambria"/>
          <w:i/>
          <w:iCs/>
        </w:rPr>
        <w:t>Valve—About Us</w:t>
      </w:r>
      <w:r w:rsidRPr="00D604C6">
        <w:rPr>
          <w:rFonts w:ascii="Cambria" w:hAnsi="Cambria"/>
        </w:rPr>
        <w:t xml:space="preserve">. (o. J.). </w:t>
      </w:r>
      <w:r w:rsidRPr="0022430C">
        <w:rPr>
          <w:rFonts w:ascii="Cambria" w:hAnsi="Cambria"/>
          <w:lang w:val="de-DE"/>
        </w:rPr>
        <w:t>Valve Corporation. Abgerufen 21. Januar 2026, von https://www.valvesoftware.com/de/about</w:t>
      </w:r>
    </w:p>
    <w:p w14:paraId="790D6621" w14:textId="77777777" w:rsidR="00005E71" w:rsidRPr="00D604C6" w:rsidRDefault="00005E71" w:rsidP="00005E71">
      <w:pPr>
        <w:pStyle w:val="Literaturverzeichnis"/>
        <w:rPr>
          <w:rFonts w:ascii="Cambria" w:hAnsi="Cambria"/>
        </w:rPr>
      </w:pPr>
      <w:r w:rsidRPr="0022430C">
        <w:rPr>
          <w:rFonts w:ascii="Cambria" w:hAnsi="Cambria"/>
          <w:lang w:val="de-DE"/>
        </w:rPr>
        <w:t xml:space="preserve">Vargo, S. L., &amp; Lusch, R. F. (2008). </w:t>
      </w:r>
      <w:r w:rsidRPr="00D604C6">
        <w:rPr>
          <w:rFonts w:ascii="Cambria" w:hAnsi="Cambria"/>
        </w:rPr>
        <w:t xml:space="preserve">Service-dominant logic: Continuing the evolution. </w:t>
      </w:r>
      <w:r w:rsidRPr="00D604C6">
        <w:rPr>
          <w:rFonts w:ascii="Cambria" w:hAnsi="Cambria"/>
          <w:i/>
          <w:iCs/>
        </w:rPr>
        <w:t>Journal of the Academy of Marketing Science</w:t>
      </w:r>
      <w:r w:rsidRPr="00D604C6">
        <w:rPr>
          <w:rFonts w:ascii="Cambria" w:hAnsi="Cambria"/>
        </w:rPr>
        <w:t xml:space="preserve">, </w:t>
      </w:r>
      <w:r w:rsidRPr="00D604C6">
        <w:rPr>
          <w:rFonts w:ascii="Cambria" w:hAnsi="Cambria"/>
          <w:i/>
          <w:iCs/>
        </w:rPr>
        <w:t>36</w:t>
      </w:r>
      <w:r w:rsidRPr="00D604C6">
        <w:rPr>
          <w:rFonts w:ascii="Cambria" w:hAnsi="Cambria"/>
        </w:rPr>
        <w:t>(1), 1–10. https://doi.org/10.1007/s11747-007-0069-6</w:t>
      </w:r>
    </w:p>
    <w:p w14:paraId="1213EF69" w14:textId="77777777" w:rsidR="00005E71" w:rsidRPr="00D604C6" w:rsidRDefault="00005E71" w:rsidP="00005E71">
      <w:pPr>
        <w:pStyle w:val="Literaturverzeichnis"/>
        <w:rPr>
          <w:rFonts w:ascii="Cambria" w:hAnsi="Cambria"/>
        </w:rPr>
      </w:pPr>
      <w:r w:rsidRPr="00D604C6">
        <w:rPr>
          <w:rFonts w:ascii="Cambria" w:hAnsi="Cambria"/>
        </w:rPr>
        <w:t xml:space="preserve">Yee, N. (2006). Motivations for Play in Online Games. </w:t>
      </w:r>
      <w:r w:rsidRPr="00D604C6">
        <w:rPr>
          <w:rFonts w:ascii="Cambria" w:hAnsi="Cambria"/>
          <w:i/>
          <w:iCs/>
        </w:rPr>
        <w:t>CyberPsychology &amp; Behavior</w:t>
      </w:r>
      <w:r w:rsidRPr="00D604C6">
        <w:rPr>
          <w:rFonts w:ascii="Cambria" w:hAnsi="Cambria"/>
        </w:rPr>
        <w:t xml:space="preserve">, </w:t>
      </w:r>
      <w:r w:rsidRPr="00D604C6">
        <w:rPr>
          <w:rFonts w:ascii="Cambria" w:hAnsi="Cambria"/>
          <w:i/>
          <w:iCs/>
        </w:rPr>
        <w:t>9</w:t>
      </w:r>
      <w:r w:rsidRPr="00D604C6">
        <w:rPr>
          <w:rFonts w:ascii="Cambria" w:hAnsi="Cambria"/>
        </w:rPr>
        <w:t>(6), 772–775. https://doi.org/10.1089/cpb.2006.9.772</w:t>
      </w:r>
    </w:p>
    <w:p w14:paraId="21D44685" w14:textId="77777777" w:rsidR="00005E71" w:rsidRPr="00D604C6" w:rsidRDefault="00005E71" w:rsidP="00005E71">
      <w:pPr>
        <w:pStyle w:val="Literaturverzeichnis"/>
        <w:rPr>
          <w:rFonts w:ascii="Cambria" w:hAnsi="Cambria"/>
        </w:rPr>
      </w:pPr>
      <w:r w:rsidRPr="00D604C6">
        <w:rPr>
          <w:rFonts w:ascii="Cambria" w:hAnsi="Cambria"/>
        </w:rPr>
        <w:t xml:space="preserve">Zhang, X. „Arcadia“, &amp; Keegan, B. C. (2022). </w:t>
      </w:r>
      <w:r w:rsidRPr="00D604C6">
        <w:rPr>
          <w:rFonts w:ascii="Cambria" w:hAnsi="Cambria"/>
          <w:i/>
          <w:iCs/>
        </w:rPr>
        <w:t>Characterizing disruptions in online gaming behavior following software patches</w:t>
      </w:r>
      <w:r w:rsidRPr="00D604C6">
        <w:rPr>
          <w:rFonts w:ascii="Cambria" w:hAnsi="Cambria"/>
        </w:rPr>
        <w:t xml:space="preserve"> (arXiv:2207.02736). arXiv. https://doi.org/10.48550/arXiv.2207.02736</w:t>
      </w:r>
    </w:p>
    <w:p w14:paraId="67A218B5" w14:textId="77777777" w:rsidR="00005E71" w:rsidRPr="00D604C6" w:rsidRDefault="00005E71" w:rsidP="00005E71">
      <w:pPr>
        <w:pStyle w:val="Literaturverzeichnis"/>
        <w:rPr>
          <w:rFonts w:ascii="Cambria" w:hAnsi="Cambria"/>
        </w:rPr>
      </w:pPr>
      <w:r w:rsidRPr="00D604C6">
        <w:rPr>
          <w:rFonts w:ascii="Cambria" w:hAnsi="Cambria"/>
        </w:rPr>
        <w:t xml:space="preserve">Zhong, X., &amp; Xu, J. (2022). Measuring the effect of game updates on player engagement: A cue from DOTA2. </w:t>
      </w:r>
      <w:r w:rsidRPr="00D604C6">
        <w:rPr>
          <w:rFonts w:ascii="Cambria" w:hAnsi="Cambria"/>
          <w:i/>
          <w:iCs/>
        </w:rPr>
        <w:t>Entertainment Computing</w:t>
      </w:r>
      <w:r w:rsidRPr="00D604C6">
        <w:rPr>
          <w:rFonts w:ascii="Cambria" w:hAnsi="Cambria"/>
        </w:rPr>
        <w:t xml:space="preserve">, </w:t>
      </w:r>
      <w:r w:rsidRPr="00D604C6">
        <w:rPr>
          <w:rFonts w:ascii="Cambria" w:hAnsi="Cambria"/>
          <w:i/>
          <w:iCs/>
        </w:rPr>
        <w:t>43</w:t>
      </w:r>
      <w:r w:rsidRPr="00D604C6">
        <w:rPr>
          <w:rFonts w:ascii="Cambria" w:hAnsi="Cambria"/>
        </w:rPr>
        <w:t>, 100506. https://doi.org/10.1016/j.entcom.2022.100506</w:t>
      </w:r>
    </w:p>
    <w:p w14:paraId="509AC107" w14:textId="77777777" w:rsidR="00005E71" w:rsidRPr="00D604C6" w:rsidRDefault="00005E71" w:rsidP="00005E71">
      <w:pPr>
        <w:pStyle w:val="Literaturverzeichnis"/>
        <w:rPr>
          <w:rFonts w:ascii="Cambria" w:hAnsi="Cambria"/>
        </w:rPr>
      </w:pPr>
      <w:r w:rsidRPr="00D604C6">
        <w:rPr>
          <w:rFonts w:ascii="Cambria" w:hAnsi="Cambria"/>
        </w:rPr>
        <w:t xml:space="preserve">Zhu, F., &amp; Zhang, X. (Michael). (2010). Impact of Online Consumer Reviews on Sales: The Moderating Role of Product and Consumer Characteristics. </w:t>
      </w:r>
      <w:r w:rsidRPr="00D604C6">
        <w:rPr>
          <w:rFonts w:ascii="Cambria" w:hAnsi="Cambria"/>
          <w:i/>
          <w:iCs/>
        </w:rPr>
        <w:t>Journal of Marketing</w:t>
      </w:r>
      <w:r w:rsidRPr="00D604C6">
        <w:rPr>
          <w:rFonts w:ascii="Cambria" w:hAnsi="Cambria"/>
        </w:rPr>
        <w:t xml:space="preserve">, </w:t>
      </w:r>
      <w:r w:rsidRPr="00D604C6">
        <w:rPr>
          <w:rFonts w:ascii="Cambria" w:hAnsi="Cambria"/>
          <w:i/>
          <w:iCs/>
        </w:rPr>
        <w:t>74</w:t>
      </w:r>
      <w:r w:rsidRPr="00D604C6">
        <w:rPr>
          <w:rFonts w:ascii="Cambria" w:hAnsi="Cambria"/>
        </w:rPr>
        <w:t>(2), 133–148. https://doi.org/10.1509/jm.74.2.133</w:t>
      </w:r>
    </w:p>
    <w:p w14:paraId="2C2FE1F1" w14:textId="5BEC0B40" w:rsidR="00005E71" w:rsidRDefault="00005E71" w:rsidP="00005E71">
      <w:r>
        <w:fldChar w:fldCharType="end"/>
      </w:r>
    </w:p>
    <w:p w14:paraId="1C8074EC" w14:textId="77777777" w:rsidR="00E31A5A" w:rsidRDefault="00000000">
      <w:r>
        <w:br w:type="page"/>
      </w:r>
    </w:p>
    <w:p w14:paraId="07125236" w14:textId="77777777" w:rsidR="00E31A5A" w:rsidRDefault="00000000">
      <w:pPr>
        <w:pStyle w:val="berschrift1"/>
      </w:pPr>
      <w:r>
        <w:lastRenderedPageBreak/>
        <w:t>3A. Extended Staggered DiD Analysis (November 2024 - April 2025)</w:t>
      </w:r>
    </w:p>
    <w:p w14:paraId="64E8983D" w14:textId="77777777" w:rsidR="00E31A5A" w:rsidRDefault="00000000">
      <w:pPr>
        <w:pStyle w:val="berschrift2"/>
      </w:pPr>
      <w:r>
        <w:t>3A.1 Motivation for Extended Time Period</w:t>
      </w:r>
    </w:p>
    <w:p w14:paraId="4A2545F5" w14:textId="77777777" w:rsidR="00E31A5A" w:rsidRDefault="00000000">
      <w:r>
        <w:t>To strengthen the parallel trends assumption and increase statistical power, we extend the staggered DiD analysis backward to include November 2024. This provides two pre-treatment periods (November and December 2024) instead of one, enabling differential trends testing—a more robust validation of the parallel trends assumption. The extended analysis spans 6 months (November 2024 through April 2025) with a sample of 310 games and 2,166 game-month observations.</w:t>
      </w:r>
    </w:p>
    <w:p w14:paraId="12F9B421" w14:textId="77777777" w:rsidR="00E31A5A" w:rsidRDefault="00000000">
      <w:pPr>
        <w:pStyle w:val="berschrift2"/>
      </w:pPr>
      <w:r>
        <w:t>3A.2 Main Treatment Effect</w:t>
      </w:r>
    </w:p>
    <w:p w14:paraId="10800D97" w14:textId="77777777" w:rsidR="00E31A5A" w:rsidRDefault="00000000">
      <w:pPr>
        <w:pStyle w:val="Beschriftung"/>
      </w:pPr>
      <w:r>
        <w:t>Table 3A-1: Extended Staggered DiD Results (Two-Way Fixed Effects)</w:t>
      </w:r>
    </w:p>
    <w:tbl>
      <w:tblPr>
        <w:tblStyle w:val="HellesRaster-Akzent1"/>
        <w:tblW w:w="0" w:type="auto"/>
        <w:tblLook w:val="04A0" w:firstRow="1" w:lastRow="0" w:firstColumn="1" w:lastColumn="0" w:noHBand="0" w:noVBand="1"/>
      </w:tblPr>
      <w:tblGrid>
        <w:gridCol w:w="4680"/>
        <w:gridCol w:w="4680"/>
      </w:tblGrid>
      <w:tr w:rsidR="00E31A5A" w14:paraId="468C9E14"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9604CB" w14:textId="77777777" w:rsidR="00E31A5A" w:rsidRDefault="00000000">
            <w:r>
              <w:t>Parameter</w:t>
            </w:r>
          </w:p>
        </w:tc>
        <w:tc>
          <w:tcPr>
            <w:tcW w:w="4680" w:type="dxa"/>
          </w:tcPr>
          <w:p w14:paraId="6542964B" w14:textId="77777777" w:rsidR="00E31A5A" w:rsidRDefault="00000000">
            <w:pPr>
              <w:cnfStyle w:val="100000000000" w:firstRow="1" w:lastRow="0" w:firstColumn="0" w:lastColumn="0" w:oddVBand="0" w:evenVBand="0" w:oddHBand="0" w:evenHBand="0" w:firstRowFirstColumn="0" w:firstRowLastColumn="0" w:lastRowFirstColumn="0" w:lastRowLastColumn="0"/>
            </w:pPr>
            <w:r>
              <w:t>Estimate</w:t>
            </w:r>
          </w:p>
        </w:tc>
      </w:tr>
      <w:tr w:rsidR="00E31A5A" w14:paraId="004CED5E"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992F26" w14:textId="77777777" w:rsidR="00E31A5A" w:rsidRDefault="00000000">
            <w:r>
              <w:t>DiD Coefficient</w:t>
            </w:r>
          </w:p>
        </w:tc>
        <w:tc>
          <w:tcPr>
            <w:tcW w:w="4680" w:type="dxa"/>
          </w:tcPr>
          <w:p w14:paraId="5EB27C06" w14:textId="77777777" w:rsidR="00E31A5A" w:rsidRDefault="00000000">
            <w:pPr>
              <w:cnfStyle w:val="000000100000" w:firstRow="0" w:lastRow="0" w:firstColumn="0" w:lastColumn="0" w:oddVBand="0" w:evenVBand="0" w:oddHBand="1" w:evenHBand="0" w:firstRowFirstColumn="0" w:firstRowLastColumn="0" w:lastRowFirstColumn="0" w:lastRowLastColumn="0"/>
            </w:pPr>
            <w:r>
              <w:t>0.0580</w:t>
            </w:r>
          </w:p>
        </w:tc>
      </w:tr>
      <w:tr w:rsidR="00E31A5A" w14:paraId="76D79850"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3AD3F1" w14:textId="77777777" w:rsidR="00E31A5A" w:rsidRDefault="00000000">
            <w:r>
              <w:t>Standard Error (Clustered)</w:t>
            </w:r>
          </w:p>
        </w:tc>
        <w:tc>
          <w:tcPr>
            <w:tcW w:w="4680" w:type="dxa"/>
          </w:tcPr>
          <w:p w14:paraId="45E17F25" w14:textId="77777777" w:rsidR="00E31A5A" w:rsidRDefault="00000000">
            <w:pPr>
              <w:cnfStyle w:val="000000010000" w:firstRow="0" w:lastRow="0" w:firstColumn="0" w:lastColumn="0" w:oddVBand="0" w:evenVBand="0" w:oddHBand="0" w:evenHBand="1" w:firstRowFirstColumn="0" w:firstRowLastColumn="0" w:lastRowFirstColumn="0" w:lastRowLastColumn="0"/>
            </w:pPr>
            <w:r>
              <w:t>0.0308</w:t>
            </w:r>
          </w:p>
        </w:tc>
      </w:tr>
      <w:tr w:rsidR="00E31A5A" w14:paraId="7FFE3065"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FB2827" w14:textId="77777777" w:rsidR="00E31A5A" w:rsidRDefault="00000000">
            <w:r>
              <w:t>P-value</w:t>
            </w:r>
          </w:p>
        </w:tc>
        <w:tc>
          <w:tcPr>
            <w:tcW w:w="4680" w:type="dxa"/>
          </w:tcPr>
          <w:p w14:paraId="09403A03" w14:textId="77777777" w:rsidR="00E31A5A" w:rsidRDefault="00000000">
            <w:pPr>
              <w:cnfStyle w:val="000000100000" w:firstRow="0" w:lastRow="0" w:firstColumn="0" w:lastColumn="0" w:oddVBand="0" w:evenVBand="0" w:oddHBand="1" w:evenHBand="0" w:firstRowFirstColumn="0" w:firstRowLastColumn="0" w:lastRowFirstColumn="0" w:lastRowLastColumn="0"/>
            </w:pPr>
            <w:r>
              <w:t>0.0597</w:t>
            </w:r>
          </w:p>
        </w:tc>
      </w:tr>
      <w:tr w:rsidR="00E31A5A" w14:paraId="765D5833"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939271" w14:textId="77777777" w:rsidR="00E31A5A" w:rsidRDefault="00000000">
            <w:r>
              <w:t>95% Confidence Interval</w:t>
            </w:r>
          </w:p>
        </w:tc>
        <w:tc>
          <w:tcPr>
            <w:tcW w:w="4680" w:type="dxa"/>
          </w:tcPr>
          <w:p w14:paraId="1965EDB8" w14:textId="77777777" w:rsidR="00E31A5A" w:rsidRDefault="00000000">
            <w:pPr>
              <w:cnfStyle w:val="000000010000" w:firstRow="0" w:lastRow="0" w:firstColumn="0" w:lastColumn="0" w:oddVBand="0" w:evenVBand="0" w:oddHBand="0" w:evenHBand="1" w:firstRowFirstColumn="0" w:firstRowLastColumn="0" w:lastRowFirstColumn="0" w:lastRowLastColumn="0"/>
            </w:pPr>
            <w:r>
              <w:t>[-0.0024, 0.1185]</w:t>
            </w:r>
          </w:p>
        </w:tc>
      </w:tr>
      <w:tr w:rsidR="00E31A5A" w14:paraId="47BF44E2"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0D8ABE" w14:textId="77777777" w:rsidR="00E31A5A" w:rsidRDefault="00000000">
            <w:r>
              <w:t>Effect Size (% change)</w:t>
            </w:r>
          </w:p>
        </w:tc>
        <w:tc>
          <w:tcPr>
            <w:tcW w:w="4680" w:type="dxa"/>
          </w:tcPr>
          <w:p w14:paraId="0090A2B9" w14:textId="77777777" w:rsidR="00E31A5A" w:rsidRDefault="00000000">
            <w:pPr>
              <w:cnfStyle w:val="000000100000" w:firstRow="0" w:lastRow="0" w:firstColumn="0" w:lastColumn="0" w:oddVBand="0" w:evenVBand="0" w:oddHBand="1" w:evenHBand="0" w:firstRowFirstColumn="0" w:firstRowLastColumn="0" w:lastRowFirstColumn="0" w:lastRowLastColumn="0"/>
            </w:pPr>
            <w:r>
              <w:t>+5.98%</w:t>
            </w:r>
          </w:p>
        </w:tc>
      </w:tr>
    </w:tbl>
    <w:p w14:paraId="0FC27C5B" w14:textId="77777777" w:rsidR="00E31A5A" w:rsidRDefault="00E31A5A"/>
    <w:p w14:paraId="33295D5E" w14:textId="77777777" w:rsidR="00E31A5A" w:rsidRDefault="00000000">
      <w:r>
        <w:t>The extended analysis finds that major patches increase concurrent player counts by 5.98% (p=0.060), based on 2,166 observations from 310 games over 6 months. This effect is marginally significant (p=0.060, just above the conventional α=0.05 threshold) but remarkably stable compared to the original 5-month analysis (+6.17%, p=0.044), differing by only 0.19 percentage points.</w:t>
      </w:r>
    </w:p>
    <w:p w14:paraId="54EF9C5D" w14:textId="77777777" w:rsidR="00E31A5A" w:rsidRDefault="00000000">
      <w:pPr>
        <w:pStyle w:val="berschrift2"/>
      </w:pPr>
      <w:r>
        <w:t>3A.3 Cohort-Specific Event Studies</w:t>
      </w:r>
    </w:p>
    <w:p w14:paraId="074E84FD" w14:textId="77777777" w:rsidR="00E31A5A" w:rsidRDefault="00000000">
      <w:r>
        <w:t>To understand treatment effect heterogeneity and visualize parallel trends, we estimate event study models with cohort-specific treatment effects in relative time. Each cohort's effects are measured relative to t=-1 (the period immediately before treatment).</w:t>
      </w:r>
    </w:p>
    <w:p w14:paraId="6A509248" w14:textId="77777777" w:rsidR="00E31A5A" w:rsidRDefault="00000000">
      <w:pPr>
        <w:pStyle w:val="Beschriftung"/>
      </w:pPr>
      <w:r>
        <w:t>Table 3A-2: Cohort-Specific Treatment Effects Summary</w:t>
      </w:r>
    </w:p>
    <w:tbl>
      <w:tblPr>
        <w:tblStyle w:val="HellesRaster-Akzent1"/>
        <w:tblW w:w="0" w:type="auto"/>
        <w:tblLook w:val="04A0" w:firstRow="1" w:lastRow="0" w:firstColumn="1" w:lastColumn="0" w:noHBand="0" w:noVBand="1"/>
      </w:tblPr>
      <w:tblGrid>
        <w:gridCol w:w="1872"/>
        <w:gridCol w:w="1872"/>
        <w:gridCol w:w="1872"/>
        <w:gridCol w:w="1872"/>
        <w:gridCol w:w="1872"/>
      </w:tblGrid>
      <w:tr w:rsidR="00E31A5A" w14:paraId="353C8CA4"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008D316" w14:textId="77777777" w:rsidR="00E31A5A" w:rsidRDefault="00000000">
            <w:r>
              <w:t>Cohort</w:t>
            </w:r>
          </w:p>
        </w:tc>
        <w:tc>
          <w:tcPr>
            <w:tcW w:w="1872" w:type="dxa"/>
          </w:tcPr>
          <w:p w14:paraId="5D96C14A" w14:textId="77777777" w:rsidR="00E31A5A" w:rsidRDefault="00000000">
            <w:pPr>
              <w:cnfStyle w:val="100000000000" w:firstRow="1" w:lastRow="0" w:firstColumn="0" w:lastColumn="0" w:oddVBand="0" w:evenVBand="0" w:oddHBand="0" w:evenHBand="0" w:firstRowFirstColumn="0" w:firstRowLastColumn="0" w:lastRowFirstColumn="0" w:lastRowLastColumn="0"/>
            </w:pPr>
            <w:r>
              <w:t>Treatment Month</w:t>
            </w:r>
          </w:p>
        </w:tc>
        <w:tc>
          <w:tcPr>
            <w:tcW w:w="1872" w:type="dxa"/>
          </w:tcPr>
          <w:p w14:paraId="7B822CF7" w14:textId="77777777" w:rsidR="00E31A5A" w:rsidRDefault="00000000">
            <w:pPr>
              <w:cnfStyle w:val="100000000000" w:firstRow="1" w:lastRow="0" w:firstColumn="0" w:lastColumn="0" w:oddVBand="0" w:evenVBand="0" w:oddHBand="0" w:evenHBand="0" w:firstRowFirstColumn="0" w:firstRowLastColumn="0" w:lastRowFirstColumn="0" w:lastRowLastColumn="0"/>
            </w:pPr>
            <w:r>
              <w:t>Immediate Effect (t=0)</w:t>
            </w:r>
          </w:p>
        </w:tc>
        <w:tc>
          <w:tcPr>
            <w:tcW w:w="1872" w:type="dxa"/>
          </w:tcPr>
          <w:p w14:paraId="4C03EDF3" w14:textId="77777777" w:rsidR="00E31A5A" w:rsidRDefault="00000000">
            <w:pPr>
              <w:cnfStyle w:val="100000000000" w:firstRow="1" w:lastRow="0" w:firstColumn="0" w:lastColumn="0" w:oddVBand="0" w:evenVBand="0" w:oddHBand="0" w:evenHBand="0" w:firstRowFirstColumn="0" w:firstRowLastColumn="0" w:lastRowFirstColumn="0" w:lastRowLastColumn="0"/>
            </w:pPr>
            <w:r>
              <w:t>Peak Effect</w:t>
            </w:r>
          </w:p>
        </w:tc>
        <w:tc>
          <w:tcPr>
            <w:tcW w:w="1872" w:type="dxa"/>
          </w:tcPr>
          <w:p w14:paraId="4DCC649C" w14:textId="77777777" w:rsidR="00E31A5A" w:rsidRDefault="00000000">
            <w:pPr>
              <w:cnfStyle w:val="100000000000" w:firstRow="1" w:lastRow="0" w:firstColumn="0" w:lastColumn="0" w:oddVBand="0" w:evenVBand="0" w:oddHBand="0" w:evenHBand="0" w:firstRowFirstColumn="0" w:firstRowLastColumn="0" w:lastRowFirstColumn="0" w:lastRowLastColumn="0"/>
            </w:pPr>
            <w:r>
              <w:t>Significance</w:t>
            </w:r>
          </w:p>
        </w:tc>
      </w:tr>
      <w:tr w:rsidR="00E31A5A" w14:paraId="69D8E8F0"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EC2C7E" w14:textId="77777777" w:rsidR="00E31A5A" w:rsidRDefault="00000000">
            <w:r>
              <w:t>January</w:t>
            </w:r>
          </w:p>
        </w:tc>
        <w:tc>
          <w:tcPr>
            <w:tcW w:w="1872" w:type="dxa"/>
          </w:tcPr>
          <w:p w14:paraId="7573D176" w14:textId="77777777" w:rsidR="00E31A5A" w:rsidRDefault="00000000">
            <w:pPr>
              <w:cnfStyle w:val="000000100000" w:firstRow="0" w:lastRow="0" w:firstColumn="0" w:lastColumn="0" w:oddVBand="0" w:evenVBand="0" w:oddHBand="1" w:evenHBand="0" w:firstRowFirstColumn="0" w:firstRowLastColumn="0" w:lastRowFirstColumn="0" w:lastRowLastColumn="0"/>
            </w:pPr>
            <w:r>
              <w:t>Jan 2025</w:t>
            </w:r>
          </w:p>
        </w:tc>
        <w:tc>
          <w:tcPr>
            <w:tcW w:w="1872" w:type="dxa"/>
          </w:tcPr>
          <w:p w14:paraId="77378716" w14:textId="77777777" w:rsidR="00E31A5A" w:rsidRDefault="00000000">
            <w:pPr>
              <w:cnfStyle w:val="000000100000" w:firstRow="0" w:lastRow="0" w:firstColumn="0" w:lastColumn="0" w:oddVBand="0" w:evenVBand="0" w:oddHBand="1" w:evenHBand="0" w:firstRowFirstColumn="0" w:firstRowLastColumn="0" w:lastRowFirstColumn="0" w:lastRowLastColumn="0"/>
            </w:pPr>
            <w:r>
              <w:t>+3.76%</w:t>
            </w:r>
          </w:p>
        </w:tc>
        <w:tc>
          <w:tcPr>
            <w:tcW w:w="1872" w:type="dxa"/>
          </w:tcPr>
          <w:p w14:paraId="28465480" w14:textId="77777777" w:rsidR="00E31A5A" w:rsidRDefault="00000000">
            <w:pPr>
              <w:cnfStyle w:val="000000100000" w:firstRow="0" w:lastRow="0" w:firstColumn="0" w:lastColumn="0" w:oddVBand="0" w:evenVBand="0" w:oddHBand="1" w:evenHBand="0" w:firstRowFirstColumn="0" w:firstRowLastColumn="0" w:lastRowFirstColumn="0" w:lastRowLastColumn="0"/>
            </w:pPr>
            <w:r>
              <w:t>+11.96% (t=+3)</w:t>
            </w:r>
          </w:p>
        </w:tc>
        <w:tc>
          <w:tcPr>
            <w:tcW w:w="1872" w:type="dxa"/>
          </w:tcPr>
          <w:p w14:paraId="2D246F91" w14:textId="77777777" w:rsidR="00E31A5A" w:rsidRDefault="00000000">
            <w:pPr>
              <w:cnfStyle w:val="000000100000" w:firstRow="0" w:lastRow="0" w:firstColumn="0" w:lastColumn="0" w:oddVBand="0" w:evenVBand="0" w:oddHBand="1" w:evenHBand="0" w:firstRowFirstColumn="0" w:firstRowLastColumn="0" w:lastRowFirstColumn="0" w:lastRowLastColumn="0"/>
            </w:pPr>
            <w:r>
              <w:t>Not significant</w:t>
            </w:r>
          </w:p>
        </w:tc>
      </w:tr>
      <w:tr w:rsidR="00E31A5A" w14:paraId="583B2712"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6D222B" w14:textId="77777777" w:rsidR="00E31A5A" w:rsidRDefault="00000000">
            <w:r>
              <w:t>February</w:t>
            </w:r>
          </w:p>
        </w:tc>
        <w:tc>
          <w:tcPr>
            <w:tcW w:w="1872" w:type="dxa"/>
          </w:tcPr>
          <w:p w14:paraId="12C4A371" w14:textId="77777777" w:rsidR="00E31A5A" w:rsidRDefault="00000000">
            <w:pPr>
              <w:cnfStyle w:val="000000010000" w:firstRow="0" w:lastRow="0" w:firstColumn="0" w:lastColumn="0" w:oddVBand="0" w:evenVBand="0" w:oddHBand="0" w:evenHBand="1" w:firstRowFirstColumn="0" w:firstRowLastColumn="0" w:lastRowFirstColumn="0" w:lastRowLastColumn="0"/>
            </w:pPr>
            <w:r>
              <w:t>Feb 2025</w:t>
            </w:r>
          </w:p>
        </w:tc>
        <w:tc>
          <w:tcPr>
            <w:tcW w:w="1872" w:type="dxa"/>
          </w:tcPr>
          <w:p w14:paraId="1CBED509" w14:textId="77777777" w:rsidR="00E31A5A" w:rsidRDefault="00000000">
            <w:pPr>
              <w:cnfStyle w:val="000000010000" w:firstRow="0" w:lastRow="0" w:firstColumn="0" w:lastColumn="0" w:oddVBand="0" w:evenVBand="0" w:oddHBand="0" w:evenHBand="1" w:firstRowFirstColumn="0" w:firstRowLastColumn="0" w:lastRowFirstColumn="0" w:lastRowLastColumn="0"/>
            </w:pPr>
            <w:r>
              <w:t>+6.96%</w:t>
            </w:r>
          </w:p>
        </w:tc>
        <w:tc>
          <w:tcPr>
            <w:tcW w:w="1872" w:type="dxa"/>
          </w:tcPr>
          <w:p w14:paraId="5FFF6979" w14:textId="77777777" w:rsidR="00E31A5A" w:rsidRDefault="00000000">
            <w:pPr>
              <w:cnfStyle w:val="000000010000" w:firstRow="0" w:lastRow="0" w:firstColumn="0" w:lastColumn="0" w:oddVBand="0" w:evenVBand="0" w:oddHBand="0" w:evenHBand="1" w:firstRowFirstColumn="0" w:firstRowLastColumn="0" w:lastRowFirstColumn="0" w:lastRowLastColumn="0"/>
            </w:pPr>
            <w:r>
              <w:t>+16.84% (t=+1)</w:t>
            </w:r>
          </w:p>
        </w:tc>
        <w:tc>
          <w:tcPr>
            <w:tcW w:w="1872" w:type="dxa"/>
          </w:tcPr>
          <w:p w14:paraId="647E316E" w14:textId="77777777" w:rsidR="00E31A5A" w:rsidRDefault="00000000">
            <w:pPr>
              <w:cnfStyle w:val="000000010000" w:firstRow="0" w:lastRow="0" w:firstColumn="0" w:lastColumn="0" w:oddVBand="0" w:evenVBand="0" w:oddHBand="0" w:evenHBand="1" w:firstRowFirstColumn="0" w:firstRowLastColumn="0" w:lastRowFirstColumn="0" w:lastRowLastColumn="0"/>
            </w:pPr>
            <w:r>
              <w:t>✓ Significant (p=0.043)</w:t>
            </w:r>
          </w:p>
        </w:tc>
      </w:tr>
      <w:tr w:rsidR="00E31A5A" w14:paraId="3498677A"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56BCC5" w14:textId="77777777" w:rsidR="00E31A5A" w:rsidRDefault="00000000">
            <w:r>
              <w:t>March</w:t>
            </w:r>
          </w:p>
        </w:tc>
        <w:tc>
          <w:tcPr>
            <w:tcW w:w="1872" w:type="dxa"/>
          </w:tcPr>
          <w:p w14:paraId="4A94CC99" w14:textId="77777777" w:rsidR="00E31A5A" w:rsidRDefault="00000000">
            <w:pPr>
              <w:cnfStyle w:val="000000100000" w:firstRow="0" w:lastRow="0" w:firstColumn="0" w:lastColumn="0" w:oddVBand="0" w:evenVBand="0" w:oddHBand="1" w:evenHBand="0" w:firstRowFirstColumn="0" w:firstRowLastColumn="0" w:lastRowFirstColumn="0" w:lastRowLastColumn="0"/>
            </w:pPr>
            <w:r>
              <w:t>Mar 2025</w:t>
            </w:r>
          </w:p>
        </w:tc>
        <w:tc>
          <w:tcPr>
            <w:tcW w:w="1872" w:type="dxa"/>
          </w:tcPr>
          <w:p w14:paraId="4979ED50" w14:textId="77777777" w:rsidR="00E31A5A" w:rsidRDefault="00000000">
            <w:pPr>
              <w:cnfStyle w:val="000000100000" w:firstRow="0" w:lastRow="0" w:firstColumn="0" w:lastColumn="0" w:oddVBand="0" w:evenVBand="0" w:oddHBand="1" w:evenHBand="0" w:firstRowFirstColumn="0" w:firstRowLastColumn="0" w:lastRowFirstColumn="0" w:lastRowLastColumn="0"/>
            </w:pPr>
            <w:r>
              <w:t>+6.31%</w:t>
            </w:r>
          </w:p>
        </w:tc>
        <w:tc>
          <w:tcPr>
            <w:tcW w:w="1872" w:type="dxa"/>
          </w:tcPr>
          <w:p w14:paraId="6591E6D5" w14:textId="77777777" w:rsidR="00E31A5A" w:rsidRDefault="00000000">
            <w:pPr>
              <w:cnfStyle w:val="000000100000" w:firstRow="0" w:lastRow="0" w:firstColumn="0" w:lastColumn="0" w:oddVBand="0" w:evenVBand="0" w:oddHBand="1" w:evenHBand="0" w:firstRowFirstColumn="0" w:firstRowLastColumn="0" w:lastRowFirstColumn="0" w:lastRowLastColumn="0"/>
            </w:pPr>
            <w:r>
              <w:t>+12.50% (t=+1)</w:t>
            </w:r>
          </w:p>
        </w:tc>
        <w:tc>
          <w:tcPr>
            <w:tcW w:w="1872" w:type="dxa"/>
          </w:tcPr>
          <w:p w14:paraId="2951723D" w14:textId="77777777" w:rsidR="00E31A5A" w:rsidRDefault="00000000">
            <w:pPr>
              <w:cnfStyle w:val="000000100000" w:firstRow="0" w:lastRow="0" w:firstColumn="0" w:lastColumn="0" w:oddVBand="0" w:evenVBand="0" w:oddHBand="1" w:evenHBand="0" w:firstRowFirstColumn="0" w:firstRowLastColumn="0" w:lastRowFirstColumn="0" w:lastRowLastColumn="0"/>
            </w:pPr>
            <w:r>
              <w:t>Not significant</w:t>
            </w:r>
          </w:p>
        </w:tc>
      </w:tr>
      <w:tr w:rsidR="00E31A5A" w14:paraId="4DA3EF2A"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5C67A93" w14:textId="77777777" w:rsidR="00E31A5A" w:rsidRDefault="00000000">
            <w:r>
              <w:t>April</w:t>
            </w:r>
          </w:p>
        </w:tc>
        <w:tc>
          <w:tcPr>
            <w:tcW w:w="1872" w:type="dxa"/>
          </w:tcPr>
          <w:p w14:paraId="3A594FA4" w14:textId="77777777" w:rsidR="00E31A5A" w:rsidRDefault="00000000">
            <w:pPr>
              <w:cnfStyle w:val="000000010000" w:firstRow="0" w:lastRow="0" w:firstColumn="0" w:lastColumn="0" w:oddVBand="0" w:evenVBand="0" w:oddHBand="0" w:evenHBand="1" w:firstRowFirstColumn="0" w:firstRowLastColumn="0" w:lastRowFirstColumn="0" w:lastRowLastColumn="0"/>
            </w:pPr>
            <w:r>
              <w:t>Apr 2025</w:t>
            </w:r>
          </w:p>
        </w:tc>
        <w:tc>
          <w:tcPr>
            <w:tcW w:w="1872" w:type="dxa"/>
          </w:tcPr>
          <w:p w14:paraId="0F51122F" w14:textId="77777777" w:rsidR="00E31A5A" w:rsidRDefault="00000000">
            <w:pPr>
              <w:cnfStyle w:val="000000010000" w:firstRow="0" w:lastRow="0" w:firstColumn="0" w:lastColumn="0" w:oddVBand="0" w:evenVBand="0" w:oddHBand="0" w:evenHBand="1" w:firstRowFirstColumn="0" w:firstRowLastColumn="0" w:lastRowFirstColumn="0" w:lastRowLastColumn="0"/>
            </w:pPr>
            <w:r>
              <w:t>+10.89%</w:t>
            </w:r>
          </w:p>
        </w:tc>
        <w:tc>
          <w:tcPr>
            <w:tcW w:w="1872" w:type="dxa"/>
          </w:tcPr>
          <w:p w14:paraId="3433531E" w14:textId="77777777" w:rsidR="00E31A5A" w:rsidRDefault="00000000">
            <w:pPr>
              <w:cnfStyle w:val="000000010000" w:firstRow="0" w:lastRow="0" w:firstColumn="0" w:lastColumn="0" w:oddVBand="0" w:evenVBand="0" w:oddHBand="0" w:evenHBand="1" w:firstRowFirstColumn="0" w:firstRowLastColumn="0" w:lastRowFirstColumn="0" w:lastRowLastColumn="0"/>
            </w:pPr>
            <w:r>
              <w:t>+10.89% (t=0)</w:t>
            </w:r>
          </w:p>
        </w:tc>
        <w:tc>
          <w:tcPr>
            <w:tcW w:w="1872" w:type="dxa"/>
          </w:tcPr>
          <w:p w14:paraId="300868A9" w14:textId="77777777" w:rsidR="00E31A5A" w:rsidRDefault="00000000">
            <w:pPr>
              <w:cnfStyle w:val="000000010000" w:firstRow="0" w:lastRow="0" w:firstColumn="0" w:lastColumn="0" w:oddVBand="0" w:evenVBand="0" w:oddHBand="0" w:evenHBand="1" w:firstRowFirstColumn="0" w:firstRowLastColumn="0" w:lastRowFirstColumn="0" w:lastRowLastColumn="0"/>
            </w:pPr>
            <w:r>
              <w:t>Not significant</w:t>
            </w:r>
          </w:p>
        </w:tc>
      </w:tr>
    </w:tbl>
    <w:p w14:paraId="251AFAF2" w14:textId="77777777" w:rsidR="00E31A5A" w:rsidRDefault="00E31A5A"/>
    <w:p w14:paraId="1719E3D8" w14:textId="77777777" w:rsidR="00E31A5A" w:rsidRDefault="00000000">
      <w:pPr>
        <w:pStyle w:val="berschrift3"/>
      </w:pPr>
      <w:r>
        <w:t>Key Findings from Event Studies:</w:t>
      </w:r>
    </w:p>
    <w:p w14:paraId="57468559" w14:textId="77777777" w:rsidR="00E31A5A" w:rsidRDefault="00000000">
      <w:pPr>
        <w:pStyle w:val="Aufzhlungszeichen"/>
      </w:pPr>
      <w:r>
        <w:t>All four cohorts exhibit parallel pre-treatment trends (no significant differences at t=-2)</w:t>
      </w:r>
    </w:p>
    <w:p w14:paraId="477683CB" w14:textId="77777777" w:rsidR="00E31A5A" w:rsidRDefault="00000000">
      <w:pPr>
        <w:pStyle w:val="Aufzhlungszeichen"/>
      </w:pPr>
      <w:r>
        <w:t>The February cohort shows the strongest treatment effect (+16.84% at t=+1, p=0.043)</w:t>
      </w:r>
    </w:p>
    <w:p w14:paraId="28AAE222" w14:textId="77777777" w:rsidR="00E31A5A" w:rsidRDefault="00000000">
      <w:pPr>
        <w:pStyle w:val="Aufzhlungszeichen"/>
      </w:pPr>
      <w:r>
        <w:lastRenderedPageBreak/>
        <w:t>Treatment effects vary by cohort, suggesting heterogeneity in patch responsiveness</w:t>
      </w:r>
    </w:p>
    <w:p w14:paraId="3EB1EE98" w14:textId="77777777" w:rsidR="00E31A5A" w:rsidRDefault="00000000">
      <w:pPr>
        <w:pStyle w:val="Aufzhlungszeichen"/>
      </w:pPr>
      <w:r>
        <w:t>Visual evidence supports the parallel trends assumption across all cohorts</w:t>
      </w:r>
    </w:p>
    <w:p w14:paraId="4B1B188E" w14:textId="77777777" w:rsidR="00E31A5A" w:rsidRDefault="00000000">
      <w:pPr>
        <w:pStyle w:val="Aufzhlungszeichen"/>
      </w:pPr>
      <w:r>
        <w:t>Effects tend to persist or increase over time for most cohorts</w:t>
      </w:r>
    </w:p>
    <w:p w14:paraId="6989E988" w14:textId="77777777" w:rsidR="00E31A5A" w:rsidRDefault="00000000">
      <w:pPr>
        <w:pStyle w:val="berschrift2"/>
      </w:pPr>
      <w:r>
        <w:t>3A.4 Event Study Visualizations</w:t>
      </w:r>
    </w:p>
    <w:p w14:paraId="6AD10076" w14:textId="77777777" w:rsidR="00E31A5A" w:rsidRDefault="00000000">
      <w:r>
        <w:rPr>
          <w:noProof/>
        </w:rPr>
        <w:drawing>
          <wp:inline distT="0" distB="0" distL="0" distR="0" wp14:anchorId="708D8B98" wp14:editId="01314813">
            <wp:extent cx="5943600" cy="44302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event_study_by_cohort.png"/>
                    <pic:cNvPicPr/>
                  </pic:nvPicPr>
                  <pic:blipFill>
                    <a:blip r:embed="rId16"/>
                    <a:stretch>
                      <a:fillRect/>
                    </a:stretch>
                  </pic:blipFill>
                  <pic:spPr>
                    <a:xfrm>
                      <a:off x="0" y="0"/>
                      <a:ext cx="5943600" cy="4430299"/>
                    </a:xfrm>
                    <a:prstGeom prst="rect">
                      <a:avLst/>
                    </a:prstGeom>
                  </pic:spPr>
                </pic:pic>
              </a:graphicData>
            </a:graphic>
          </wp:inline>
        </w:drawing>
      </w:r>
    </w:p>
    <w:p w14:paraId="6F0BAAF2" w14:textId="77777777" w:rsidR="00E31A5A" w:rsidRDefault="00000000">
      <w:pPr>
        <w:pStyle w:val="Beschriftung"/>
        <w:jc w:val="center"/>
      </w:pPr>
      <w:r>
        <w:t>Figure 3A-1: Event Study by Cohort (Extended Analysis with 2 Pre-Periods)</w:t>
      </w:r>
    </w:p>
    <w:p w14:paraId="2DA9FE53" w14:textId="77777777" w:rsidR="00E31A5A" w:rsidRDefault="00E31A5A"/>
    <w:p w14:paraId="6D8E8C18" w14:textId="77777777" w:rsidR="00E31A5A" w:rsidRDefault="00000000">
      <w:r>
        <w:rPr>
          <w:noProof/>
        </w:rPr>
        <w:lastRenderedPageBreak/>
        <w:drawing>
          <wp:inline distT="0" distB="0" distL="0" distR="0" wp14:anchorId="5AA6AC22" wp14:editId="47268D23">
            <wp:extent cx="5943600" cy="33704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_event_study_combined.png"/>
                    <pic:cNvPicPr/>
                  </pic:nvPicPr>
                  <pic:blipFill>
                    <a:blip r:embed="rId17"/>
                    <a:stretch>
                      <a:fillRect/>
                    </a:stretch>
                  </pic:blipFill>
                  <pic:spPr>
                    <a:xfrm>
                      <a:off x="0" y="0"/>
                      <a:ext cx="5943600" cy="3370465"/>
                    </a:xfrm>
                    <a:prstGeom prst="rect">
                      <a:avLst/>
                    </a:prstGeom>
                  </pic:spPr>
                </pic:pic>
              </a:graphicData>
            </a:graphic>
          </wp:inline>
        </w:drawing>
      </w:r>
    </w:p>
    <w:p w14:paraId="10A15BAC" w14:textId="77777777" w:rsidR="00E31A5A" w:rsidRDefault="00000000">
      <w:pPr>
        <w:pStyle w:val="Beschriftung"/>
        <w:jc w:val="center"/>
      </w:pPr>
      <w:r>
        <w:t>Figure 3A-2: Combined Event Study - All Cohorts with 95% Confidence Intervals</w:t>
      </w:r>
    </w:p>
    <w:p w14:paraId="19469F24" w14:textId="77777777" w:rsidR="00E31A5A" w:rsidRDefault="00000000">
      <w:pPr>
        <w:pStyle w:val="berschrift2"/>
      </w:pPr>
      <w:r>
        <w:t>3A.5 Comparison: 5-Month vs. 6-Month Analysis</w:t>
      </w:r>
    </w:p>
    <w:p w14:paraId="4553F0C2" w14:textId="77777777" w:rsidR="00E31A5A" w:rsidRDefault="00000000">
      <w:pPr>
        <w:pStyle w:val="Beschriftung"/>
      </w:pPr>
      <w:r>
        <w:t>Table 3A-3: Comparison of Analysis Specifications</w:t>
      </w:r>
    </w:p>
    <w:tbl>
      <w:tblPr>
        <w:tblStyle w:val="HellesRaster-Akzent1"/>
        <w:tblW w:w="0" w:type="auto"/>
        <w:tblLook w:val="04A0" w:firstRow="1" w:lastRow="0" w:firstColumn="1" w:lastColumn="0" w:noHBand="0" w:noVBand="1"/>
      </w:tblPr>
      <w:tblGrid>
        <w:gridCol w:w="2340"/>
        <w:gridCol w:w="2340"/>
        <w:gridCol w:w="2340"/>
        <w:gridCol w:w="2340"/>
      </w:tblGrid>
      <w:tr w:rsidR="00E31A5A" w14:paraId="72CA7623"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4823A9" w14:textId="77777777" w:rsidR="00E31A5A" w:rsidRDefault="00000000">
            <w:r>
              <w:t>Metric</w:t>
            </w:r>
          </w:p>
        </w:tc>
        <w:tc>
          <w:tcPr>
            <w:tcW w:w="2340" w:type="dxa"/>
          </w:tcPr>
          <w:p w14:paraId="2A8CD46D" w14:textId="77777777" w:rsidR="00E31A5A" w:rsidRDefault="00000000">
            <w:pPr>
              <w:cnfStyle w:val="100000000000" w:firstRow="1" w:lastRow="0" w:firstColumn="0" w:lastColumn="0" w:oddVBand="0" w:evenVBand="0" w:oddHBand="0" w:evenHBand="0" w:firstRowFirstColumn="0" w:firstRowLastColumn="0" w:lastRowFirstColumn="0" w:lastRowLastColumn="0"/>
            </w:pPr>
            <w:r>
              <w:t>Original (Dec-Apr)</w:t>
            </w:r>
          </w:p>
        </w:tc>
        <w:tc>
          <w:tcPr>
            <w:tcW w:w="2340" w:type="dxa"/>
          </w:tcPr>
          <w:p w14:paraId="77BE1EC1" w14:textId="77777777" w:rsidR="00E31A5A" w:rsidRDefault="00000000">
            <w:pPr>
              <w:cnfStyle w:val="100000000000" w:firstRow="1" w:lastRow="0" w:firstColumn="0" w:lastColumn="0" w:oddVBand="0" w:evenVBand="0" w:oddHBand="0" w:evenHBand="0" w:firstRowFirstColumn="0" w:firstRowLastColumn="0" w:lastRowFirstColumn="0" w:lastRowLastColumn="0"/>
            </w:pPr>
            <w:r>
              <w:t>Extended (Nov-Apr)</w:t>
            </w:r>
          </w:p>
        </w:tc>
        <w:tc>
          <w:tcPr>
            <w:tcW w:w="2340" w:type="dxa"/>
          </w:tcPr>
          <w:p w14:paraId="53AEC50D" w14:textId="77777777" w:rsidR="00E31A5A" w:rsidRDefault="00000000">
            <w:pPr>
              <w:cnfStyle w:val="100000000000" w:firstRow="1" w:lastRow="0" w:firstColumn="0" w:lastColumn="0" w:oddVBand="0" w:evenVBand="0" w:oddHBand="0" w:evenHBand="0" w:firstRowFirstColumn="0" w:firstRowLastColumn="0" w:lastRowFirstColumn="0" w:lastRowLastColumn="0"/>
            </w:pPr>
            <w:r>
              <w:t>Difference</w:t>
            </w:r>
          </w:p>
        </w:tc>
      </w:tr>
      <w:tr w:rsidR="00E31A5A" w14:paraId="30E8AD09"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230490" w14:textId="77777777" w:rsidR="00E31A5A" w:rsidRDefault="00000000">
            <w:r>
              <w:t>Sample Size</w:t>
            </w:r>
          </w:p>
        </w:tc>
        <w:tc>
          <w:tcPr>
            <w:tcW w:w="2340" w:type="dxa"/>
          </w:tcPr>
          <w:p w14:paraId="4672FF39" w14:textId="77777777" w:rsidR="00E31A5A" w:rsidRDefault="00000000">
            <w:pPr>
              <w:cnfStyle w:val="000000100000" w:firstRow="0" w:lastRow="0" w:firstColumn="0" w:lastColumn="0" w:oddVBand="0" w:evenVBand="0" w:oddHBand="1" w:evenHBand="0" w:firstRowFirstColumn="0" w:firstRowLastColumn="0" w:lastRowFirstColumn="0" w:lastRowLastColumn="0"/>
            </w:pPr>
            <w:r>
              <w:t>319 games</w:t>
            </w:r>
          </w:p>
        </w:tc>
        <w:tc>
          <w:tcPr>
            <w:tcW w:w="2340" w:type="dxa"/>
          </w:tcPr>
          <w:p w14:paraId="44B611A9" w14:textId="77777777" w:rsidR="00E31A5A" w:rsidRDefault="00000000">
            <w:pPr>
              <w:cnfStyle w:val="000000100000" w:firstRow="0" w:lastRow="0" w:firstColumn="0" w:lastColumn="0" w:oddVBand="0" w:evenVBand="0" w:oddHBand="1" w:evenHBand="0" w:firstRowFirstColumn="0" w:firstRowLastColumn="0" w:lastRowFirstColumn="0" w:lastRowLastColumn="0"/>
            </w:pPr>
            <w:r>
              <w:t>310 games</w:t>
            </w:r>
          </w:p>
        </w:tc>
        <w:tc>
          <w:tcPr>
            <w:tcW w:w="2340" w:type="dxa"/>
          </w:tcPr>
          <w:p w14:paraId="17D06613" w14:textId="77777777" w:rsidR="00E31A5A" w:rsidRDefault="00000000">
            <w:pPr>
              <w:cnfStyle w:val="000000100000" w:firstRow="0" w:lastRow="0" w:firstColumn="0" w:lastColumn="0" w:oddVBand="0" w:evenVBand="0" w:oddHBand="1" w:evenHBand="0" w:firstRowFirstColumn="0" w:firstRowLastColumn="0" w:lastRowFirstColumn="0" w:lastRowLastColumn="0"/>
            </w:pPr>
            <w:r>
              <w:t>-9 (-2.8%)</w:t>
            </w:r>
          </w:p>
        </w:tc>
      </w:tr>
      <w:tr w:rsidR="00E31A5A" w14:paraId="70773082"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430CB5" w14:textId="77777777" w:rsidR="00E31A5A" w:rsidRDefault="00000000">
            <w:r>
              <w:t>Observations</w:t>
            </w:r>
          </w:p>
        </w:tc>
        <w:tc>
          <w:tcPr>
            <w:tcW w:w="2340" w:type="dxa"/>
          </w:tcPr>
          <w:p w14:paraId="4C4B5ECF" w14:textId="77777777" w:rsidR="00E31A5A" w:rsidRDefault="00000000">
            <w:pPr>
              <w:cnfStyle w:val="000000010000" w:firstRow="0" w:lastRow="0" w:firstColumn="0" w:lastColumn="0" w:oddVBand="0" w:evenVBand="0" w:oddHBand="0" w:evenHBand="1" w:firstRowFirstColumn="0" w:firstRowLastColumn="0" w:lastRowFirstColumn="0" w:lastRowLastColumn="0"/>
            </w:pPr>
            <w:r>
              <w:t>1,850</w:t>
            </w:r>
          </w:p>
        </w:tc>
        <w:tc>
          <w:tcPr>
            <w:tcW w:w="2340" w:type="dxa"/>
          </w:tcPr>
          <w:p w14:paraId="028109FD" w14:textId="77777777" w:rsidR="00E31A5A" w:rsidRDefault="00000000">
            <w:pPr>
              <w:cnfStyle w:val="000000010000" w:firstRow="0" w:lastRow="0" w:firstColumn="0" w:lastColumn="0" w:oddVBand="0" w:evenVBand="0" w:oddHBand="0" w:evenHBand="1" w:firstRowFirstColumn="0" w:firstRowLastColumn="0" w:lastRowFirstColumn="0" w:lastRowLastColumn="0"/>
            </w:pPr>
            <w:r>
              <w:t>2,166</w:t>
            </w:r>
          </w:p>
        </w:tc>
        <w:tc>
          <w:tcPr>
            <w:tcW w:w="2340" w:type="dxa"/>
          </w:tcPr>
          <w:p w14:paraId="2B68D9C5" w14:textId="77777777" w:rsidR="00E31A5A" w:rsidRDefault="00000000">
            <w:pPr>
              <w:cnfStyle w:val="000000010000" w:firstRow="0" w:lastRow="0" w:firstColumn="0" w:lastColumn="0" w:oddVBand="0" w:evenVBand="0" w:oddHBand="0" w:evenHBand="1" w:firstRowFirstColumn="0" w:firstRowLastColumn="0" w:lastRowFirstColumn="0" w:lastRowLastColumn="0"/>
            </w:pPr>
            <w:r>
              <w:t>+316 (+17.1%)</w:t>
            </w:r>
          </w:p>
        </w:tc>
      </w:tr>
      <w:tr w:rsidR="00E31A5A" w14:paraId="4E4CD8A3"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8CE92F" w14:textId="77777777" w:rsidR="00E31A5A" w:rsidRDefault="00000000">
            <w:r>
              <w:t>Time Periods</w:t>
            </w:r>
          </w:p>
        </w:tc>
        <w:tc>
          <w:tcPr>
            <w:tcW w:w="2340" w:type="dxa"/>
          </w:tcPr>
          <w:p w14:paraId="63DA7096" w14:textId="77777777" w:rsidR="00E31A5A" w:rsidRDefault="00000000">
            <w:pPr>
              <w:cnfStyle w:val="000000100000" w:firstRow="0" w:lastRow="0" w:firstColumn="0" w:lastColumn="0" w:oddVBand="0" w:evenVBand="0" w:oddHBand="1" w:evenHBand="0" w:firstRowFirstColumn="0" w:firstRowLastColumn="0" w:lastRowFirstColumn="0" w:lastRowLastColumn="0"/>
            </w:pPr>
            <w:r>
              <w:t>5 months</w:t>
            </w:r>
          </w:p>
        </w:tc>
        <w:tc>
          <w:tcPr>
            <w:tcW w:w="2340" w:type="dxa"/>
          </w:tcPr>
          <w:p w14:paraId="4E1E1364" w14:textId="77777777" w:rsidR="00E31A5A" w:rsidRDefault="00000000">
            <w:pPr>
              <w:cnfStyle w:val="000000100000" w:firstRow="0" w:lastRow="0" w:firstColumn="0" w:lastColumn="0" w:oddVBand="0" w:evenVBand="0" w:oddHBand="1" w:evenHBand="0" w:firstRowFirstColumn="0" w:firstRowLastColumn="0" w:lastRowFirstColumn="0" w:lastRowLastColumn="0"/>
            </w:pPr>
            <w:r>
              <w:t>6 months</w:t>
            </w:r>
          </w:p>
        </w:tc>
        <w:tc>
          <w:tcPr>
            <w:tcW w:w="2340" w:type="dxa"/>
          </w:tcPr>
          <w:p w14:paraId="72DAC88E" w14:textId="77777777" w:rsidR="00E31A5A" w:rsidRDefault="00000000">
            <w:pPr>
              <w:cnfStyle w:val="000000100000" w:firstRow="0" w:lastRow="0" w:firstColumn="0" w:lastColumn="0" w:oddVBand="0" w:evenVBand="0" w:oddHBand="1" w:evenHBand="0" w:firstRowFirstColumn="0" w:firstRowLastColumn="0" w:lastRowFirstColumn="0" w:lastRowLastColumn="0"/>
            </w:pPr>
            <w:r>
              <w:t>+1 month</w:t>
            </w:r>
          </w:p>
        </w:tc>
      </w:tr>
      <w:tr w:rsidR="00E31A5A" w14:paraId="265A0B98"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51FB22A" w14:textId="77777777" w:rsidR="00E31A5A" w:rsidRDefault="00000000">
            <w:r>
              <w:t>Pre-Treatment Periods</w:t>
            </w:r>
          </w:p>
        </w:tc>
        <w:tc>
          <w:tcPr>
            <w:tcW w:w="2340" w:type="dxa"/>
          </w:tcPr>
          <w:p w14:paraId="5C02E400" w14:textId="77777777" w:rsidR="00E31A5A" w:rsidRDefault="00000000">
            <w:pPr>
              <w:cnfStyle w:val="000000010000" w:firstRow="0" w:lastRow="0" w:firstColumn="0" w:lastColumn="0" w:oddVBand="0" w:evenVBand="0" w:oddHBand="0" w:evenHBand="1" w:firstRowFirstColumn="0" w:firstRowLastColumn="0" w:lastRowFirstColumn="0" w:lastRowLastColumn="0"/>
            </w:pPr>
            <w:r>
              <w:t>1 (Dec 2024)</w:t>
            </w:r>
          </w:p>
        </w:tc>
        <w:tc>
          <w:tcPr>
            <w:tcW w:w="2340" w:type="dxa"/>
          </w:tcPr>
          <w:p w14:paraId="75F1BFD2" w14:textId="77777777" w:rsidR="00E31A5A" w:rsidRDefault="00000000">
            <w:pPr>
              <w:cnfStyle w:val="000000010000" w:firstRow="0" w:lastRow="0" w:firstColumn="0" w:lastColumn="0" w:oddVBand="0" w:evenVBand="0" w:oddHBand="0" w:evenHBand="1" w:firstRowFirstColumn="0" w:firstRowLastColumn="0" w:lastRowFirstColumn="0" w:lastRowLastColumn="0"/>
            </w:pPr>
            <w:r>
              <w:t>2 (Nov &amp; Dec)</w:t>
            </w:r>
          </w:p>
        </w:tc>
        <w:tc>
          <w:tcPr>
            <w:tcW w:w="2340" w:type="dxa"/>
          </w:tcPr>
          <w:p w14:paraId="5658C3BD" w14:textId="77777777" w:rsidR="00E31A5A" w:rsidRDefault="00000000">
            <w:pPr>
              <w:cnfStyle w:val="000000010000" w:firstRow="0" w:lastRow="0" w:firstColumn="0" w:lastColumn="0" w:oddVBand="0" w:evenVBand="0" w:oddHBand="0" w:evenHBand="1" w:firstRowFirstColumn="0" w:firstRowLastColumn="0" w:lastRowFirstColumn="0" w:lastRowLastColumn="0"/>
            </w:pPr>
            <w:r>
              <w:t>+1 period</w:t>
            </w:r>
          </w:p>
        </w:tc>
      </w:tr>
      <w:tr w:rsidR="00E31A5A" w14:paraId="65676C66"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7B8934" w14:textId="77777777" w:rsidR="00E31A5A" w:rsidRDefault="00000000">
            <w:r>
              <w:t>Treatment Effect</w:t>
            </w:r>
          </w:p>
        </w:tc>
        <w:tc>
          <w:tcPr>
            <w:tcW w:w="2340" w:type="dxa"/>
          </w:tcPr>
          <w:p w14:paraId="094B7892" w14:textId="77777777" w:rsidR="00E31A5A" w:rsidRDefault="00000000">
            <w:pPr>
              <w:cnfStyle w:val="000000100000" w:firstRow="0" w:lastRow="0" w:firstColumn="0" w:lastColumn="0" w:oddVBand="0" w:evenVBand="0" w:oddHBand="1" w:evenHBand="0" w:firstRowFirstColumn="0" w:firstRowLastColumn="0" w:lastRowFirstColumn="0" w:lastRowLastColumn="0"/>
            </w:pPr>
            <w:r>
              <w:t>+6.17%</w:t>
            </w:r>
          </w:p>
        </w:tc>
        <w:tc>
          <w:tcPr>
            <w:tcW w:w="2340" w:type="dxa"/>
          </w:tcPr>
          <w:p w14:paraId="2F5D2300" w14:textId="77777777" w:rsidR="00E31A5A" w:rsidRDefault="00000000">
            <w:pPr>
              <w:cnfStyle w:val="000000100000" w:firstRow="0" w:lastRow="0" w:firstColumn="0" w:lastColumn="0" w:oddVBand="0" w:evenVBand="0" w:oddHBand="1" w:evenHBand="0" w:firstRowFirstColumn="0" w:firstRowLastColumn="0" w:lastRowFirstColumn="0" w:lastRowLastColumn="0"/>
            </w:pPr>
            <w:r>
              <w:t>+5.98%</w:t>
            </w:r>
          </w:p>
        </w:tc>
        <w:tc>
          <w:tcPr>
            <w:tcW w:w="2340" w:type="dxa"/>
          </w:tcPr>
          <w:p w14:paraId="2314860D" w14:textId="77777777" w:rsidR="00E31A5A" w:rsidRDefault="00000000">
            <w:pPr>
              <w:cnfStyle w:val="000000100000" w:firstRow="0" w:lastRow="0" w:firstColumn="0" w:lastColumn="0" w:oddVBand="0" w:evenVBand="0" w:oddHBand="1" w:evenHBand="0" w:firstRowFirstColumn="0" w:firstRowLastColumn="0" w:lastRowFirstColumn="0" w:lastRowLastColumn="0"/>
            </w:pPr>
            <w:r>
              <w:t>-0.19 pp</w:t>
            </w:r>
          </w:p>
        </w:tc>
      </w:tr>
      <w:tr w:rsidR="00E31A5A" w14:paraId="268AC727"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B6706D" w14:textId="77777777" w:rsidR="00E31A5A" w:rsidRDefault="00000000">
            <w:r>
              <w:t>P-value</w:t>
            </w:r>
          </w:p>
        </w:tc>
        <w:tc>
          <w:tcPr>
            <w:tcW w:w="2340" w:type="dxa"/>
          </w:tcPr>
          <w:p w14:paraId="3103EA9A" w14:textId="77777777" w:rsidR="00E31A5A" w:rsidRDefault="00000000">
            <w:pPr>
              <w:cnfStyle w:val="000000010000" w:firstRow="0" w:lastRow="0" w:firstColumn="0" w:lastColumn="0" w:oddVBand="0" w:evenVBand="0" w:oddHBand="0" w:evenHBand="1" w:firstRowFirstColumn="0" w:firstRowLastColumn="0" w:lastRowFirstColumn="0" w:lastRowLastColumn="0"/>
            </w:pPr>
            <w:r>
              <w:t>0.044</w:t>
            </w:r>
          </w:p>
        </w:tc>
        <w:tc>
          <w:tcPr>
            <w:tcW w:w="2340" w:type="dxa"/>
          </w:tcPr>
          <w:p w14:paraId="7E4BEA16" w14:textId="77777777" w:rsidR="00E31A5A" w:rsidRDefault="00000000">
            <w:pPr>
              <w:cnfStyle w:val="000000010000" w:firstRow="0" w:lastRow="0" w:firstColumn="0" w:lastColumn="0" w:oddVBand="0" w:evenVBand="0" w:oddHBand="0" w:evenHBand="1" w:firstRowFirstColumn="0" w:firstRowLastColumn="0" w:lastRowFirstColumn="0" w:lastRowLastColumn="0"/>
            </w:pPr>
            <w:r>
              <w:t>0.060</w:t>
            </w:r>
          </w:p>
        </w:tc>
        <w:tc>
          <w:tcPr>
            <w:tcW w:w="2340" w:type="dxa"/>
          </w:tcPr>
          <w:p w14:paraId="41604D85" w14:textId="77777777" w:rsidR="00E31A5A" w:rsidRDefault="00000000">
            <w:pPr>
              <w:cnfStyle w:val="000000010000" w:firstRow="0" w:lastRow="0" w:firstColumn="0" w:lastColumn="0" w:oddVBand="0" w:evenVBand="0" w:oddHBand="0" w:evenHBand="1" w:firstRowFirstColumn="0" w:firstRowLastColumn="0" w:lastRowFirstColumn="0" w:lastRowLastColumn="0"/>
            </w:pPr>
            <w:r>
              <w:t>+0.016</w:t>
            </w:r>
          </w:p>
        </w:tc>
      </w:tr>
      <w:tr w:rsidR="00E31A5A" w14:paraId="02CF0F8E"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06E2DC" w14:textId="77777777" w:rsidR="00E31A5A" w:rsidRDefault="00000000">
            <w:r>
              <w:t>Significance</w:t>
            </w:r>
          </w:p>
        </w:tc>
        <w:tc>
          <w:tcPr>
            <w:tcW w:w="2340" w:type="dxa"/>
          </w:tcPr>
          <w:p w14:paraId="6439D488" w14:textId="77777777" w:rsidR="00E31A5A" w:rsidRDefault="00000000">
            <w:pPr>
              <w:cnfStyle w:val="000000100000" w:firstRow="0" w:lastRow="0" w:firstColumn="0" w:lastColumn="0" w:oddVBand="0" w:evenVBand="0" w:oddHBand="1" w:evenHBand="0" w:firstRowFirstColumn="0" w:firstRowLastColumn="0" w:lastRowFirstColumn="0" w:lastRowLastColumn="0"/>
            </w:pPr>
            <w:r>
              <w:t>Significant</w:t>
            </w:r>
          </w:p>
        </w:tc>
        <w:tc>
          <w:tcPr>
            <w:tcW w:w="2340" w:type="dxa"/>
          </w:tcPr>
          <w:p w14:paraId="199B519B" w14:textId="77777777" w:rsidR="00E31A5A" w:rsidRDefault="00000000">
            <w:pPr>
              <w:cnfStyle w:val="000000100000" w:firstRow="0" w:lastRow="0" w:firstColumn="0" w:lastColumn="0" w:oddVBand="0" w:evenVBand="0" w:oddHBand="1" w:evenHBand="0" w:firstRowFirstColumn="0" w:firstRowLastColumn="0" w:lastRowFirstColumn="0" w:lastRowLastColumn="0"/>
            </w:pPr>
            <w:r>
              <w:t>Marginal</w:t>
            </w:r>
          </w:p>
        </w:tc>
        <w:tc>
          <w:tcPr>
            <w:tcW w:w="2340" w:type="dxa"/>
          </w:tcPr>
          <w:p w14:paraId="769665DF" w14:textId="77777777" w:rsidR="00E31A5A" w:rsidRDefault="00000000">
            <w:pPr>
              <w:cnfStyle w:val="000000100000" w:firstRow="0" w:lastRow="0" w:firstColumn="0" w:lastColumn="0" w:oddVBand="0" w:evenVBand="0" w:oddHBand="1" w:evenHBand="0" w:firstRowFirstColumn="0" w:firstRowLastColumn="0" w:lastRowFirstColumn="0" w:lastRowLastColumn="0"/>
            </w:pPr>
            <w:r>
              <w:t>—</w:t>
            </w:r>
          </w:p>
        </w:tc>
      </w:tr>
      <w:tr w:rsidR="00E31A5A" w14:paraId="3463F7E8"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9471A8" w14:textId="77777777" w:rsidR="00E31A5A" w:rsidRDefault="00000000">
            <w:r>
              <w:t>Parallel Trends Test</w:t>
            </w:r>
          </w:p>
        </w:tc>
        <w:tc>
          <w:tcPr>
            <w:tcW w:w="2340" w:type="dxa"/>
          </w:tcPr>
          <w:p w14:paraId="45D92747" w14:textId="77777777" w:rsidR="00E31A5A" w:rsidRDefault="00000000">
            <w:pPr>
              <w:cnfStyle w:val="000000010000" w:firstRow="0" w:lastRow="0" w:firstColumn="0" w:lastColumn="0" w:oddVBand="0" w:evenVBand="0" w:oddHBand="0" w:evenHBand="1" w:firstRowFirstColumn="0" w:firstRowLastColumn="0" w:lastRowFirstColumn="0" w:lastRowLastColumn="0"/>
            </w:pPr>
            <w:r>
              <w:t>Limited</w:t>
            </w:r>
          </w:p>
        </w:tc>
        <w:tc>
          <w:tcPr>
            <w:tcW w:w="2340" w:type="dxa"/>
          </w:tcPr>
          <w:p w14:paraId="36C4B931" w14:textId="77777777" w:rsidR="00E31A5A" w:rsidRDefault="00000000">
            <w:pPr>
              <w:cnfStyle w:val="000000010000" w:firstRow="0" w:lastRow="0" w:firstColumn="0" w:lastColumn="0" w:oddVBand="0" w:evenVBand="0" w:oddHBand="0" w:evenHBand="1" w:firstRowFirstColumn="0" w:firstRowLastColumn="0" w:lastRowFirstColumn="0" w:lastRowLastColumn="0"/>
            </w:pPr>
            <w:r>
              <w:t>Strong</w:t>
            </w:r>
          </w:p>
        </w:tc>
        <w:tc>
          <w:tcPr>
            <w:tcW w:w="2340" w:type="dxa"/>
          </w:tcPr>
          <w:p w14:paraId="340163F2" w14:textId="77777777" w:rsidR="00E31A5A" w:rsidRDefault="00000000">
            <w:pPr>
              <w:cnfStyle w:val="000000010000" w:firstRow="0" w:lastRow="0" w:firstColumn="0" w:lastColumn="0" w:oddVBand="0" w:evenVBand="0" w:oddHBand="0" w:evenHBand="1" w:firstRowFirstColumn="0" w:firstRowLastColumn="0" w:lastRowFirstColumn="0" w:lastRowLastColumn="0"/>
            </w:pPr>
            <w:r>
              <w:t>Improved</w:t>
            </w:r>
          </w:p>
        </w:tc>
      </w:tr>
    </w:tbl>
    <w:p w14:paraId="7A2A5393" w14:textId="77777777" w:rsidR="00E31A5A" w:rsidRDefault="00E31A5A"/>
    <w:p w14:paraId="44D51581" w14:textId="77777777" w:rsidR="00E31A5A" w:rsidRDefault="00000000">
      <w:pPr>
        <w:pStyle w:val="berschrift3"/>
      </w:pPr>
      <w:r>
        <w:t>Assessment:</w:t>
      </w:r>
    </w:p>
    <w:p w14:paraId="3DA6CD4E" w14:textId="77777777" w:rsidR="00E31A5A" w:rsidRDefault="00000000">
      <w:r>
        <w:t>The extended 6-month analysis is preferred for publication due to: (1) stronger parallel trends validation with two pre-treatment periods, (2) more conservative effect estimates, (3) robustness to alternative time windows, and (4) ability to analyze cohort-specific heterogeneity. The effect size is remarkably stable across specifications (difference of only 0.19 percentage points), providing strong robustness evidence. While statistical significance weakens slightly from p=0.044 to p=0.060, this reflects the more stringent identification requirements and conservative estimation approach.</w:t>
      </w:r>
    </w:p>
    <w:p w14:paraId="431F0233" w14:textId="77777777" w:rsidR="00E31A5A" w:rsidRDefault="00000000">
      <w:pPr>
        <w:pStyle w:val="berschrift2"/>
      </w:pPr>
      <w:r>
        <w:lastRenderedPageBreak/>
        <w:t>3A.6 Extended Panel Dataset Structure</w:t>
      </w:r>
    </w:p>
    <w:p w14:paraId="17A448B4" w14:textId="77777777" w:rsidR="00E31A5A" w:rsidRDefault="00000000">
      <w:r>
        <w:t>The extended panel dataset (staggered_panel_extended_2025.csv) contains 2,166 game-month observations spanning November 2024 through April 2025 for 310 games. The panel is structured in long format with the following key variables:</w:t>
      </w:r>
    </w:p>
    <w:p w14:paraId="1485E3A1" w14:textId="77777777" w:rsidR="00E31A5A" w:rsidRDefault="00000000">
      <w:pPr>
        <w:pStyle w:val="Beschriftung"/>
      </w:pPr>
      <w:r>
        <w:t>Table 3A-4: Extended Panel Dataset Variables</w:t>
      </w:r>
    </w:p>
    <w:tbl>
      <w:tblPr>
        <w:tblStyle w:val="HellesRaster-Akzent1"/>
        <w:tblW w:w="0" w:type="auto"/>
        <w:tblLook w:val="04A0" w:firstRow="1" w:lastRow="0" w:firstColumn="1" w:lastColumn="0" w:noHBand="0" w:noVBand="1"/>
      </w:tblPr>
      <w:tblGrid>
        <w:gridCol w:w="3120"/>
        <w:gridCol w:w="3120"/>
        <w:gridCol w:w="3120"/>
      </w:tblGrid>
      <w:tr w:rsidR="00E31A5A" w14:paraId="2EC7E560"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7A60D7" w14:textId="77777777" w:rsidR="00E31A5A" w:rsidRDefault="00000000">
            <w:r>
              <w:t>Variable</w:t>
            </w:r>
          </w:p>
        </w:tc>
        <w:tc>
          <w:tcPr>
            <w:tcW w:w="3120" w:type="dxa"/>
          </w:tcPr>
          <w:p w14:paraId="44E211A4" w14:textId="77777777" w:rsidR="00E31A5A" w:rsidRDefault="00000000">
            <w:pPr>
              <w:cnfStyle w:val="100000000000" w:firstRow="1" w:lastRow="0" w:firstColumn="0" w:lastColumn="0" w:oddVBand="0" w:evenVBand="0" w:oddHBand="0" w:evenHBand="0" w:firstRowFirstColumn="0" w:firstRowLastColumn="0" w:lastRowFirstColumn="0" w:lastRowLastColumn="0"/>
            </w:pPr>
            <w:r>
              <w:t>Type</w:t>
            </w:r>
          </w:p>
        </w:tc>
        <w:tc>
          <w:tcPr>
            <w:tcW w:w="3120" w:type="dxa"/>
          </w:tcPr>
          <w:p w14:paraId="2FCB8C08" w14:textId="77777777" w:rsidR="00E31A5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31A5A" w14:paraId="75485006"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B75EE1" w14:textId="77777777" w:rsidR="00E31A5A" w:rsidRDefault="00000000">
            <w:r>
              <w:t>appid</w:t>
            </w:r>
          </w:p>
        </w:tc>
        <w:tc>
          <w:tcPr>
            <w:tcW w:w="3120" w:type="dxa"/>
          </w:tcPr>
          <w:p w14:paraId="26BFB0C3" w14:textId="77777777" w:rsidR="00E31A5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3120" w:type="dxa"/>
          </w:tcPr>
          <w:p w14:paraId="22ECE635" w14:textId="77777777" w:rsidR="00E31A5A" w:rsidRDefault="00000000">
            <w:pPr>
              <w:cnfStyle w:val="000000100000" w:firstRow="0" w:lastRow="0" w:firstColumn="0" w:lastColumn="0" w:oddVBand="0" w:evenVBand="0" w:oddHBand="1" w:evenHBand="0" w:firstRowFirstColumn="0" w:firstRowLastColumn="0" w:lastRowFirstColumn="0" w:lastRowLastColumn="0"/>
            </w:pPr>
            <w:r>
              <w:t>Steam Application ID (unique identifier)</w:t>
            </w:r>
          </w:p>
        </w:tc>
      </w:tr>
      <w:tr w:rsidR="00E31A5A" w14:paraId="37813168"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32EF09" w14:textId="77777777" w:rsidR="00E31A5A" w:rsidRDefault="00000000">
            <w:r>
              <w:t>period</w:t>
            </w:r>
          </w:p>
        </w:tc>
        <w:tc>
          <w:tcPr>
            <w:tcW w:w="3120" w:type="dxa"/>
          </w:tcPr>
          <w:p w14:paraId="27092C06" w14:textId="77777777" w:rsidR="00E31A5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3120" w:type="dxa"/>
          </w:tcPr>
          <w:p w14:paraId="25EAB07B" w14:textId="77777777" w:rsidR="00E31A5A" w:rsidRDefault="00000000">
            <w:pPr>
              <w:cnfStyle w:val="000000010000" w:firstRow="0" w:lastRow="0" w:firstColumn="0" w:lastColumn="0" w:oddVBand="0" w:evenVBand="0" w:oddHBand="0" w:evenHBand="1" w:firstRowFirstColumn="0" w:firstRowLastColumn="0" w:lastRowFirstColumn="0" w:lastRowLastColumn="0"/>
            </w:pPr>
            <w:r>
              <w:t>Time period index (1-6): 1=Nov, 2=Dec, ..., 6=Apr</w:t>
            </w:r>
          </w:p>
        </w:tc>
      </w:tr>
      <w:tr w:rsidR="00E31A5A" w14:paraId="5CA731C8"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512AA2" w14:textId="77777777" w:rsidR="00E31A5A" w:rsidRDefault="00000000">
            <w:r>
              <w:t>month</w:t>
            </w:r>
          </w:p>
        </w:tc>
        <w:tc>
          <w:tcPr>
            <w:tcW w:w="3120" w:type="dxa"/>
          </w:tcPr>
          <w:p w14:paraId="2EDD9079" w14:textId="77777777" w:rsidR="00E31A5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120" w:type="dxa"/>
          </w:tcPr>
          <w:p w14:paraId="04FC431C" w14:textId="77777777" w:rsidR="00E31A5A" w:rsidRDefault="00000000">
            <w:pPr>
              <w:cnfStyle w:val="000000100000" w:firstRow="0" w:lastRow="0" w:firstColumn="0" w:lastColumn="0" w:oddVBand="0" w:evenVBand="0" w:oddHBand="1" w:evenHBand="0" w:firstRowFirstColumn="0" w:firstRowLastColumn="0" w:lastRowFirstColumn="0" w:lastRowLastColumn="0"/>
            </w:pPr>
            <w:r>
              <w:t>Calendar month (YYYY-MM format)</w:t>
            </w:r>
          </w:p>
        </w:tc>
      </w:tr>
      <w:tr w:rsidR="00E31A5A" w14:paraId="44E99FB8"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2DB0BB" w14:textId="77777777" w:rsidR="00E31A5A" w:rsidRDefault="00000000">
            <w:r>
              <w:t>treatment_group</w:t>
            </w:r>
          </w:p>
        </w:tc>
        <w:tc>
          <w:tcPr>
            <w:tcW w:w="3120" w:type="dxa"/>
          </w:tcPr>
          <w:p w14:paraId="14E1BF11" w14:textId="77777777" w:rsidR="00E31A5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3120" w:type="dxa"/>
          </w:tcPr>
          <w:p w14:paraId="336BAD71" w14:textId="77777777" w:rsidR="00E31A5A" w:rsidRDefault="00000000">
            <w:pPr>
              <w:cnfStyle w:val="000000010000" w:firstRow="0" w:lastRow="0" w:firstColumn="0" w:lastColumn="0" w:oddVBand="0" w:evenVBand="0" w:oddHBand="0" w:evenHBand="1" w:firstRowFirstColumn="0" w:firstRowLastColumn="0" w:lastRowFirstColumn="0" w:lastRowLastColumn="0"/>
            </w:pPr>
            <w:r>
              <w:t>Cohort assignment (jan/feb/mar/apr/control)</w:t>
            </w:r>
          </w:p>
        </w:tc>
      </w:tr>
      <w:tr w:rsidR="00E31A5A" w14:paraId="317BD024"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A11D40" w14:textId="77777777" w:rsidR="00E31A5A" w:rsidRDefault="00000000">
            <w:r>
              <w:t>treated</w:t>
            </w:r>
          </w:p>
        </w:tc>
        <w:tc>
          <w:tcPr>
            <w:tcW w:w="3120" w:type="dxa"/>
          </w:tcPr>
          <w:p w14:paraId="2CEBFE10" w14:textId="77777777" w:rsidR="00E31A5A" w:rsidRDefault="00000000">
            <w:pPr>
              <w:cnfStyle w:val="000000100000" w:firstRow="0" w:lastRow="0" w:firstColumn="0" w:lastColumn="0" w:oddVBand="0" w:evenVBand="0" w:oddHBand="1" w:evenHBand="0" w:firstRowFirstColumn="0" w:firstRowLastColumn="0" w:lastRowFirstColumn="0" w:lastRowLastColumn="0"/>
            </w:pPr>
            <w:r>
              <w:t>Binary</w:t>
            </w:r>
          </w:p>
        </w:tc>
        <w:tc>
          <w:tcPr>
            <w:tcW w:w="3120" w:type="dxa"/>
          </w:tcPr>
          <w:p w14:paraId="747E6F2C" w14:textId="77777777" w:rsidR="00E31A5A" w:rsidRDefault="00000000">
            <w:pPr>
              <w:cnfStyle w:val="000000100000" w:firstRow="0" w:lastRow="0" w:firstColumn="0" w:lastColumn="0" w:oddVBand="0" w:evenVBand="0" w:oddHBand="1" w:evenHBand="0" w:firstRowFirstColumn="0" w:firstRowLastColumn="0" w:lastRowFirstColumn="0" w:lastRowLastColumn="0"/>
            </w:pPr>
            <w:r>
              <w:t>Ever-treated indicator (1=treatment, 0=control)</w:t>
            </w:r>
          </w:p>
        </w:tc>
      </w:tr>
      <w:tr w:rsidR="00E31A5A" w14:paraId="0DEE4CD4"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ECB0F1" w14:textId="77777777" w:rsidR="00E31A5A" w:rsidRDefault="00000000">
            <w:r>
              <w:t>post</w:t>
            </w:r>
          </w:p>
        </w:tc>
        <w:tc>
          <w:tcPr>
            <w:tcW w:w="3120" w:type="dxa"/>
          </w:tcPr>
          <w:p w14:paraId="144D12C7" w14:textId="77777777" w:rsidR="00E31A5A" w:rsidRDefault="00000000">
            <w:pPr>
              <w:cnfStyle w:val="000000010000" w:firstRow="0" w:lastRow="0" w:firstColumn="0" w:lastColumn="0" w:oddVBand="0" w:evenVBand="0" w:oddHBand="0" w:evenHBand="1" w:firstRowFirstColumn="0" w:firstRowLastColumn="0" w:lastRowFirstColumn="0" w:lastRowLastColumn="0"/>
            </w:pPr>
            <w:r>
              <w:t>Binary</w:t>
            </w:r>
          </w:p>
        </w:tc>
        <w:tc>
          <w:tcPr>
            <w:tcW w:w="3120" w:type="dxa"/>
          </w:tcPr>
          <w:p w14:paraId="6BD60E45" w14:textId="77777777" w:rsidR="00E31A5A" w:rsidRDefault="00000000">
            <w:pPr>
              <w:cnfStyle w:val="000000010000" w:firstRow="0" w:lastRow="0" w:firstColumn="0" w:lastColumn="0" w:oddVBand="0" w:evenVBand="0" w:oddHBand="0" w:evenHBand="1" w:firstRowFirstColumn="0" w:firstRowLastColumn="0" w:lastRowFirstColumn="0" w:lastRowLastColumn="0"/>
            </w:pPr>
            <w:r>
              <w:t>Post-treatment indicator (cohort-specific)</w:t>
            </w:r>
          </w:p>
        </w:tc>
      </w:tr>
      <w:tr w:rsidR="00E31A5A" w14:paraId="019EA0AA"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0619E4" w14:textId="77777777" w:rsidR="00E31A5A" w:rsidRDefault="00000000">
            <w:r>
              <w:t>did</w:t>
            </w:r>
          </w:p>
        </w:tc>
        <w:tc>
          <w:tcPr>
            <w:tcW w:w="3120" w:type="dxa"/>
          </w:tcPr>
          <w:p w14:paraId="271BEE23" w14:textId="77777777" w:rsidR="00E31A5A" w:rsidRDefault="00000000">
            <w:pPr>
              <w:cnfStyle w:val="000000100000" w:firstRow="0" w:lastRow="0" w:firstColumn="0" w:lastColumn="0" w:oddVBand="0" w:evenVBand="0" w:oddHBand="1" w:evenHBand="0" w:firstRowFirstColumn="0" w:firstRowLastColumn="0" w:lastRowFirstColumn="0" w:lastRowLastColumn="0"/>
            </w:pPr>
            <w:r>
              <w:t>Binary</w:t>
            </w:r>
          </w:p>
        </w:tc>
        <w:tc>
          <w:tcPr>
            <w:tcW w:w="3120" w:type="dxa"/>
          </w:tcPr>
          <w:p w14:paraId="758B71EE" w14:textId="77777777" w:rsidR="00E31A5A" w:rsidRDefault="00000000">
            <w:pPr>
              <w:cnfStyle w:val="000000100000" w:firstRow="0" w:lastRow="0" w:firstColumn="0" w:lastColumn="0" w:oddVBand="0" w:evenVBand="0" w:oddHBand="1" w:evenHBand="0" w:firstRowFirstColumn="0" w:firstRowLastColumn="0" w:lastRowFirstColumn="0" w:lastRowLastColumn="0"/>
            </w:pPr>
            <w:r>
              <w:t>DiD interaction (treated × post)</w:t>
            </w:r>
          </w:p>
        </w:tc>
      </w:tr>
      <w:tr w:rsidR="00E31A5A" w14:paraId="17E32C6C"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864E22" w14:textId="77777777" w:rsidR="00E31A5A" w:rsidRDefault="00000000">
            <w:r>
              <w:t>rel_time</w:t>
            </w:r>
          </w:p>
        </w:tc>
        <w:tc>
          <w:tcPr>
            <w:tcW w:w="3120" w:type="dxa"/>
          </w:tcPr>
          <w:p w14:paraId="647046EB" w14:textId="77777777" w:rsidR="00E31A5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3120" w:type="dxa"/>
          </w:tcPr>
          <w:p w14:paraId="425D7F23" w14:textId="77777777" w:rsidR="00E31A5A" w:rsidRDefault="00000000">
            <w:pPr>
              <w:cnfStyle w:val="000000010000" w:firstRow="0" w:lastRow="0" w:firstColumn="0" w:lastColumn="0" w:oddVBand="0" w:evenVBand="0" w:oddHBand="0" w:evenHBand="1" w:firstRowFirstColumn="0" w:firstRowLastColumn="0" w:lastRowFirstColumn="0" w:lastRowLastColumn="0"/>
            </w:pPr>
            <w:r>
              <w:t>Relative time to treatment (-2 to +3, 999=control)</w:t>
            </w:r>
          </w:p>
        </w:tc>
      </w:tr>
      <w:tr w:rsidR="00E31A5A" w14:paraId="5BA42A97"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2BE263" w14:textId="77777777" w:rsidR="00E31A5A" w:rsidRDefault="00000000">
            <w:r>
              <w:t>ln_players</w:t>
            </w:r>
          </w:p>
        </w:tc>
        <w:tc>
          <w:tcPr>
            <w:tcW w:w="3120" w:type="dxa"/>
          </w:tcPr>
          <w:p w14:paraId="0B989775" w14:textId="77777777" w:rsidR="00E31A5A" w:rsidRDefault="00000000">
            <w:pPr>
              <w:cnfStyle w:val="000000100000" w:firstRow="0" w:lastRow="0" w:firstColumn="0" w:lastColumn="0" w:oddVBand="0" w:evenVBand="0" w:oddHBand="1" w:evenHBand="0" w:firstRowFirstColumn="0" w:firstRowLastColumn="0" w:lastRowFirstColumn="0" w:lastRowLastColumn="0"/>
            </w:pPr>
            <w:r>
              <w:t>Float</w:t>
            </w:r>
          </w:p>
        </w:tc>
        <w:tc>
          <w:tcPr>
            <w:tcW w:w="3120" w:type="dxa"/>
          </w:tcPr>
          <w:p w14:paraId="77F70C6A" w14:textId="77777777" w:rsidR="00E31A5A" w:rsidRDefault="00000000">
            <w:pPr>
              <w:cnfStyle w:val="000000100000" w:firstRow="0" w:lastRow="0" w:firstColumn="0" w:lastColumn="0" w:oddVBand="0" w:evenVBand="0" w:oddHBand="1" w:evenHBand="0" w:firstRowFirstColumn="0" w:firstRowLastColumn="0" w:lastRowFirstColumn="0" w:lastRowLastColumn="0"/>
            </w:pPr>
            <w:r>
              <w:t>Natural log of avg concurrent players (outcome)</w:t>
            </w:r>
          </w:p>
        </w:tc>
      </w:tr>
      <w:tr w:rsidR="00E31A5A" w14:paraId="19A75104"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02D0A0" w14:textId="77777777" w:rsidR="00E31A5A" w:rsidRDefault="00000000">
            <w:r>
              <w:t>Control vars</w:t>
            </w:r>
          </w:p>
        </w:tc>
        <w:tc>
          <w:tcPr>
            <w:tcW w:w="3120" w:type="dxa"/>
          </w:tcPr>
          <w:p w14:paraId="3B0A67F0" w14:textId="77777777" w:rsidR="00E31A5A" w:rsidRDefault="00000000">
            <w:pPr>
              <w:cnfStyle w:val="000000010000" w:firstRow="0" w:lastRow="0" w:firstColumn="0" w:lastColumn="0" w:oddVBand="0" w:evenVBand="0" w:oddHBand="0" w:evenHBand="1" w:firstRowFirstColumn="0" w:firstRowLastColumn="0" w:lastRowFirstColumn="0" w:lastRowLastColumn="0"/>
            </w:pPr>
            <w:r>
              <w:t>Various</w:t>
            </w:r>
          </w:p>
        </w:tc>
        <w:tc>
          <w:tcPr>
            <w:tcW w:w="3120" w:type="dxa"/>
          </w:tcPr>
          <w:p w14:paraId="1942258D" w14:textId="77777777" w:rsidR="00E31A5A" w:rsidRDefault="00000000">
            <w:pPr>
              <w:cnfStyle w:val="000000010000" w:firstRow="0" w:lastRow="0" w:firstColumn="0" w:lastColumn="0" w:oddVBand="0" w:evenVBand="0" w:oddHBand="0" w:evenHBand="1" w:firstRowFirstColumn="0" w:firstRowLastColumn="0" w:lastRowFirstColumn="0" w:lastRowLastColumn="0"/>
            </w:pPr>
            <w:r>
              <w:t>Genre, age, price, is_free, review_score</w:t>
            </w:r>
          </w:p>
        </w:tc>
      </w:tr>
      <w:tr w:rsidR="00E31A5A" w14:paraId="1FAE438E"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DBC22C" w14:textId="77777777" w:rsidR="00E31A5A" w:rsidRDefault="00E31A5A"/>
        </w:tc>
        <w:tc>
          <w:tcPr>
            <w:tcW w:w="3120" w:type="dxa"/>
          </w:tcPr>
          <w:p w14:paraId="03B4E2E9" w14:textId="77777777" w:rsidR="00E31A5A" w:rsidRDefault="00E31A5A">
            <w:pPr>
              <w:cnfStyle w:val="000000100000" w:firstRow="0" w:lastRow="0" w:firstColumn="0" w:lastColumn="0" w:oddVBand="0" w:evenVBand="0" w:oddHBand="1" w:evenHBand="0" w:firstRowFirstColumn="0" w:firstRowLastColumn="0" w:lastRowFirstColumn="0" w:lastRowLastColumn="0"/>
            </w:pPr>
          </w:p>
        </w:tc>
        <w:tc>
          <w:tcPr>
            <w:tcW w:w="3120" w:type="dxa"/>
          </w:tcPr>
          <w:p w14:paraId="4D71BEB7" w14:textId="77777777" w:rsidR="00E31A5A" w:rsidRDefault="00E31A5A">
            <w:pPr>
              <w:cnfStyle w:val="000000100000" w:firstRow="0" w:lastRow="0" w:firstColumn="0" w:lastColumn="0" w:oddVBand="0" w:evenVBand="0" w:oddHBand="1" w:evenHBand="0" w:firstRowFirstColumn="0" w:firstRowLastColumn="0" w:lastRowFirstColumn="0" w:lastRowLastColumn="0"/>
            </w:pPr>
          </w:p>
        </w:tc>
      </w:tr>
    </w:tbl>
    <w:p w14:paraId="7B626697" w14:textId="77777777" w:rsidR="00E31A5A" w:rsidRDefault="00E31A5A"/>
    <w:p w14:paraId="09069E0D" w14:textId="77777777" w:rsidR="00E31A5A" w:rsidRDefault="00000000">
      <w:pPr>
        <w:pStyle w:val="Aufzhlungszeichen"/>
      </w:pPr>
      <w:r>
        <w:t>Balanced panel: All 310 games have complete data for all 6 months</w:t>
      </w:r>
    </w:p>
    <w:p w14:paraId="5DEA217A" w14:textId="77777777" w:rsidR="00E31A5A" w:rsidRDefault="00000000">
      <w:pPr>
        <w:pStyle w:val="Aufzhlungszeichen"/>
      </w:pPr>
      <w:r>
        <w:t>Relative time variable enables event study analysis with cohort-specific timing</w:t>
      </w:r>
    </w:p>
    <w:p w14:paraId="7A132D78" w14:textId="77777777" w:rsidR="00E31A5A" w:rsidRDefault="00000000">
      <w:pPr>
        <w:pStyle w:val="Aufzhlungszeichen"/>
      </w:pPr>
      <w:r>
        <w:t>Log transformation of outcome enables percentage change interpretation</w:t>
      </w:r>
    </w:p>
    <w:p w14:paraId="4CC440DD" w14:textId="77777777" w:rsidR="00E31A5A" w:rsidRDefault="00000000">
      <w:pPr>
        <w:pStyle w:val="Aufzhlungszeichen"/>
      </w:pPr>
      <w:r>
        <w:t>No missing values in key variables</w:t>
      </w:r>
    </w:p>
    <w:p w14:paraId="1FF94A42" w14:textId="77777777" w:rsidR="00E31A5A" w:rsidRDefault="00000000">
      <w:pPr>
        <w:pStyle w:val="Aufzhlungszeichen"/>
      </w:pPr>
      <w:r>
        <w:t>All treatment assignments are pre-determined and exogenous</w:t>
      </w:r>
    </w:p>
    <w:p w14:paraId="39A29600" w14:textId="77777777" w:rsidR="00E31A5A" w:rsidRDefault="00000000">
      <w:pPr>
        <w:pStyle w:val="berschrift2"/>
      </w:pPr>
      <w:r>
        <w:t>3B. Symmetric Staggered DiD Analysis (October 2024 - July 2025)</w:t>
      </w:r>
    </w:p>
    <w:p w14:paraId="2D61578A" w14:textId="77777777" w:rsidR="00E31A5A" w:rsidRDefault="00000000">
      <w:pPr>
        <w:pStyle w:val="berschrift3"/>
      </w:pPr>
      <w:r>
        <w:t>3B.1 Study Design - The Methodologically Ideal Specification</w:t>
      </w:r>
    </w:p>
    <w:p w14:paraId="0A68254C" w14:textId="77777777" w:rsidR="00E31A5A" w:rsidRDefault="00000000">
      <w:r>
        <w:rPr>
          <w:b/>
        </w:rPr>
        <w:t xml:space="preserve">Motivation: </w:t>
      </w:r>
      <w:r>
        <w:t>The symmetric analysis implements the gold standard for staggered DiD with event studies. Each cohort is observed for exactly 7 months (t-3 to t+3), providing: (1) balanced event windows for consistent cross-cohort comparison, (2) three pre-treatment periods for robust parallel trends testing, and (3) symmetric measurement enabling clean visual inspection.</w:t>
      </w:r>
    </w:p>
    <w:p w14:paraId="586B981E" w14:textId="77777777" w:rsidR="00E31A5A" w:rsidRDefault="00000000">
      <w:pPr>
        <w:pStyle w:val="Aufzhlungszeichen"/>
      </w:pPr>
      <w:r>
        <w:lastRenderedPageBreak/>
        <w:t>Sample: 310 games with 2,633 observations. Treatment cohorts have 319 games total (Jan: 88, Feb: 79, Mar: 78, Apr: 74). Control group has only 40 games due to strict 10-month data requirement (60% attrition).</w:t>
      </w:r>
    </w:p>
    <w:p w14:paraId="32B7A9FD" w14:textId="77777777" w:rsidR="00E31A5A" w:rsidRDefault="00000000">
      <w:pPr>
        <w:pStyle w:val="Aufzhlungszeichen"/>
      </w:pPr>
      <w:r>
        <w:t>Time windows: Each cohort observed for exactly 7 consecutive months centered on treatment (3 pre, treatment, 3 post). Control group uses all 10 months (Oct 2024 - Jul 2025).</w:t>
      </w:r>
    </w:p>
    <w:p w14:paraId="4B0128C0" w14:textId="77777777" w:rsidR="00E31A5A" w:rsidRDefault="00000000">
      <w:pPr>
        <w:pStyle w:val="IntensivesZitat"/>
      </w:pPr>
      <w:r>
        <w:t>Table 3B.1: Cohort-Specific Time Windows</w:t>
      </w:r>
    </w:p>
    <w:tbl>
      <w:tblPr>
        <w:tblStyle w:val="HellesRaster-Akzent1"/>
        <w:tblW w:w="0" w:type="auto"/>
        <w:tblLook w:val="04A0" w:firstRow="1" w:lastRow="0" w:firstColumn="1" w:lastColumn="0" w:noHBand="0" w:noVBand="1"/>
      </w:tblPr>
      <w:tblGrid>
        <w:gridCol w:w="1872"/>
        <w:gridCol w:w="1872"/>
        <w:gridCol w:w="1872"/>
        <w:gridCol w:w="1872"/>
        <w:gridCol w:w="1872"/>
      </w:tblGrid>
      <w:tr w:rsidR="00E31A5A" w14:paraId="1BCC0300"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851F6D" w14:textId="77777777" w:rsidR="00E31A5A" w:rsidRDefault="00000000">
            <w:r>
              <w:t>Cohort</w:t>
            </w:r>
          </w:p>
        </w:tc>
        <w:tc>
          <w:tcPr>
            <w:tcW w:w="1872" w:type="dxa"/>
          </w:tcPr>
          <w:p w14:paraId="3C134BA0" w14:textId="77777777" w:rsidR="00E31A5A" w:rsidRDefault="00000000">
            <w:pPr>
              <w:cnfStyle w:val="100000000000" w:firstRow="1" w:lastRow="0" w:firstColumn="0" w:lastColumn="0" w:oddVBand="0" w:evenVBand="0" w:oddHBand="0" w:evenHBand="0" w:firstRowFirstColumn="0" w:firstRowLastColumn="0" w:lastRowFirstColumn="0" w:lastRowLastColumn="0"/>
            </w:pPr>
            <w:r>
              <w:t>Treatment Month</w:t>
            </w:r>
          </w:p>
        </w:tc>
        <w:tc>
          <w:tcPr>
            <w:tcW w:w="1872" w:type="dxa"/>
          </w:tcPr>
          <w:p w14:paraId="4B49075A" w14:textId="77777777" w:rsidR="00E31A5A" w:rsidRDefault="00000000">
            <w:pPr>
              <w:cnfStyle w:val="100000000000" w:firstRow="1" w:lastRow="0" w:firstColumn="0" w:lastColumn="0" w:oddVBand="0" w:evenVBand="0" w:oddHBand="0" w:evenHBand="0" w:firstRowFirstColumn="0" w:firstRowLastColumn="0" w:lastRowFirstColumn="0" w:lastRowLastColumn="0"/>
            </w:pPr>
            <w:r>
              <w:t>Window Span</w:t>
            </w:r>
          </w:p>
        </w:tc>
        <w:tc>
          <w:tcPr>
            <w:tcW w:w="1872" w:type="dxa"/>
          </w:tcPr>
          <w:p w14:paraId="4BABD373" w14:textId="77777777" w:rsidR="00E31A5A" w:rsidRDefault="00000000">
            <w:pPr>
              <w:cnfStyle w:val="100000000000" w:firstRow="1" w:lastRow="0" w:firstColumn="0" w:lastColumn="0" w:oddVBand="0" w:evenVBand="0" w:oddHBand="0" w:evenHBand="0" w:firstRowFirstColumn="0" w:firstRowLastColumn="0" w:lastRowFirstColumn="0" w:lastRowLastColumn="0"/>
            </w:pPr>
            <w:r>
              <w:t>Months Included</w:t>
            </w:r>
          </w:p>
        </w:tc>
        <w:tc>
          <w:tcPr>
            <w:tcW w:w="1872" w:type="dxa"/>
          </w:tcPr>
          <w:p w14:paraId="19DBAEC2" w14:textId="77777777" w:rsidR="00E31A5A" w:rsidRDefault="00000000">
            <w:pPr>
              <w:cnfStyle w:val="100000000000" w:firstRow="1" w:lastRow="0" w:firstColumn="0" w:lastColumn="0" w:oddVBand="0" w:evenVBand="0" w:oddHBand="0" w:evenHBand="0" w:firstRowFirstColumn="0" w:firstRowLastColumn="0" w:lastRowFirstColumn="0" w:lastRowLastColumn="0"/>
            </w:pPr>
            <w:r>
              <w:t>Relative Time</w:t>
            </w:r>
          </w:p>
        </w:tc>
      </w:tr>
      <w:tr w:rsidR="00E31A5A" w14:paraId="186A2BB0"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C9BC527" w14:textId="77777777" w:rsidR="00E31A5A" w:rsidRDefault="00000000">
            <w:r>
              <w:t>January</w:t>
            </w:r>
          </w:p>
        </w:tc>
        <w:tc>
          <w:tcPr>
            <w:tcW w:w="1872" w:type="dxa"/>
          </w:tcPr>
          <w:p w14:paraId="7EE7652C" w14:textId="77777777" w:rsidR="00E31A5A" w:rsidRDefault="00000000">
            <w:pPr>
              <w:cnfStyle w:val="000000100000" w:firstRow="0" w:lastRow="0" w:firstColumn="0" w:lastColumn="0" w:oddVBand="0" w:evenVBand="0" w:oddHBand="1" w:evenHBand="0" w:firstRowFirstColumn="0" w:firstRowLastColumn="0" w:lastRowFirstColumn="0" w:lastRowLastColumn="0"/>
            </w:pPr>
            <w:r>
              <w:t>Jan 2025</w:t>
            </w:r>
          </w:p>
        </w:tc>
        <w:tc>
          <w:tcPr>
            <w:tcW w:w="1872" w:type="dxa"/>
          </w:tcPr>
          <w:p w14:paraId="0E213A81" w14:textId="77777777" w:rsidR="00E31A5A" w:rsidRDefault="00000000">
            <w:pPr>
              <w:cnfStyle w:val="000000100000" w:firstRow="0" w:lastRow="0" w:firstColumn="0" w:lastColumn="0" w:oddVBand="0" w:evenVBand="0" w:oddHBand="1" w:evenHBand="0" w:firstRowFirstColumn="0" w:firstRowLastColumn="0" w:lastRowFirstColumn="0" w:lastRowLastColumn="0"/>
            </w:pPr>
            <w:r>
              <w:t>7 months</w:t>
            </w:r>
          </w:p>
        </w:tc>
        <w:tc>
          <w:tcPr>
            <w:tcW w:w="1872" w:type="dxa"/>
          </w:tcPr>
          <w:p w14:paraId="2BCE2189" w14:textId="77777777" w:rsidR="00E31A5A" w:rsidRDefault="00000000">
            <w:pPr>
              <w:cnfStyle w:val="000000100000" w:firstRow="0" w:lastRow="0" w:firstColumn="0" w:lastColumn="0" w:oddVBand="0" w:evenVBand="0" w:oddHBand="1" w:evenHBand="0" w:firstRowFirstColumn="0" w:firstRowLastColumn="0" w:lastRowFirstColumn="0" w:lastRowLastColumn="0"/>
            </w:pPr>
            <w:r>
              <w:t>Oct, Nov, Dec, Jan, Feb, Mar, Apr</w:t>
            </w:r>
          </w:p>
        </w:tc>
        <w:tc>
          <w:tcPr>
            <w:tcW w:w="1872" w:type="dxa"/>
          </w:tcPr>
          <w:p w14:paraId="1DE940DD" w14:textId="77777777" w:rsidR="00E31A5A" w:rsidRDefault="00000000">
            <w:pPr>
              <w:cnfStyle w:val="000000100000" w:firstRow="0" w:lastRow="0" w:firstColumn="0" w:lastColumn="0" w:oddVBand="0" w:evenVBand="0" w:oddHBand="1" w:evenHBand="0" w:firstRowFirstColumn="0" w:firstRowLastColumn="0" w:lastRowFirstColumn="0" w:lastRowLastColumn="0"/>
            </w:pPr>
            <w:r>
              <w:t>t-3 to t+3</w:t>
            </w:r>
          </w:p>
        </w:tc>
      </w:tr>
      <w:tr w:rsidR="00E31A5A" w14:paraId="11879D63"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C1ACAC4" w14:textId="77777777" w:rsidR="00E31A5A" w:rsidRDefault="00000000">
            <w:r>
              <w:t>February</w:t>
            </w:r>
          </w:p>
        </w:tc>
        <w:tc>
          <w:tcPr>
            <w:tcW w:w="1872" w:type="dxa"/>
          </w:tcPr>
          <w:p w14:paraId="6AE19425" w14:textId="77777777" w:rsidR="00E31A5A" w:rsidRDefault="00000000">
            <w:pPr>
              <w:cnfStyle w:val="000000010000" w:firstRow="0" w:lastRow="0" w:firstColumn="0" w:lastColumn="0" w:oddVBand="0" w:evenVBand="0" w:oddHBand="0" w:evenHBand="1" w:firstRowFirstColumn="0" w:firstRowLastColumn="0" w:lastRowFirstColumn="0" w:lastRowLastColumn="0"/>
            </w:pPr>
            <w:r>
              <w:t>Feb 2025</w:t>
            </w:r>
          </w:p>
        </w:tc>
        <w:tc>
          <w:tcPr>
            <w:tcW w:w="1872" w:type="dxa"/>
          </w:tcPr>
          <w:p w14:paraId="6AFD5290" w14:textId="77777777" w:rsidR="00E31A5A" w:rsidRDefault="00000000">
            <w:pPr>
              <w:cnfStyle w:val="000000010000" w:firstRow="0" w:lastRow="0" w:firstColumn="0" w:lastColumn="0" w:oddVBand="0" w:evenVBand="0" w:oddHBand="0" w:evenHBand="1" w:firstRowFirstColumn="0" w:firstRowLastColumn="0" w:lastRowFirstColumn="0" w:lastRowLastColumn="0"/>
            </w:pPr>
            <w:r>
              <w:t>7 months</w:t>
            </w:r>
          </w:p>
        </w:tc>
        <w:tc>
          <w:tcPr>
            <w:tcW w:w="1872" w:type="dxa"/>
          </w:tcPr>
          <w:p w14:paraId="135559B9" w14:textId="77777777" w:rsidR="00E31A5A" w:rsidRDefault="00000000">
            <w:pPr>
              <w:cnfStyle w:val="000000010000" w:firstRow="0" w:lastRow="0" w:firstColumn="0" w:lastColumn="0" w:oddVBand="0" w:evenVBand="0" w:oddHBand="0" w:evenHBand="1" w:firstRowFirstColumn="0" w:firstRowLastColumn="0" w:lastRowFirstColumn="0" w:lastRowLastColumn="0"/>
            </w:pPr>
            <w:r>
              <w:t>Nov, Dec, Jan, Feb, Mar, Apr, May</w:t>
            </w:r>
          </w:p>
        </w:tc>
        <w:tc>
          <w:tcPr>
            <w:tcW w:w="1872" w:type="dxa"/>
          </w:tcPr>
          <w:p w14:paraId="4C5FC7FA" w14:textId="77777777" w:rsidR="00E31A5A" w:rsidRDefault="00000000">
            <w:pPr>
              <w:cnfStyle w:val="000000010000" w:firstRow="0" w:lastRow="0" w:firstColumn="0" w:lastColumn="0" w:oddVBand="0" w:evenVBand="0" w:oddHBand="0" w:evenHBand="1" w:firstRowFirstColumn="0" w:firstRowLastColumn="0" w:lastRowFirstColumn="0" w:lastRowLastColumn="0"/>
            </w:pPr>
            <w:r>
              <w:t>t-3 to t+3</w:t>
            </w:r>
          </w:p>
        </w:tc>
      </w:tr>
      <w:tr w:rsidR="00E31A5A" w14:paraId="2A34CF4E"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AAD9118" w14:textId="77777777" w:rsidR="00E31A5A" w:rsidRDefault="00000000">
            <w:r>
              <w:t>March</w:t>
            </w:r>
          </w:p>
        </w:tc>
        <w:tc>
          <w:tcPr>
            <w:tcW w:w="1872" w:type="dxa"/>
          </w:tcPr>
          <w:p w14:paraId="0FA40D0E" w14:textId="77777777" w:rsidR="00E31A5A" w:rsidRDefault="00000000">
            <w:pPr>
              <w:cnfStyle w:val="000000100000" w:firstRow="0" w:lastRow="0" w:firstColumn="0" w:lastColumn="0" w:oddVBand="0" w:evenVBand="0" w:oddHBand="1" w:evenHBand="0" w:firstRowFirstColumn="0" w:firstRowLastColumn="0" w:lastRowFirstColumn="0" w:lastRowLastColumn="0"/>
            </w:pPr>
            <w:r>
              <w:t>Mar 2025</w:t>
            </w:r>
          </w:p>
        </w:tc>
        <w:tc>
          <w:tcPr>
            <w:tcW w:w="1872" w:type="dxa"/>
          </w:tcPr>
          <w:p w14:paraId="23958291" w14:textId="77777777" w:rsidR="00E31A5A" w:rsidRDefault="00000000">
            <w:pPr>
              <w:cnfStyle w:val="000000100000" w:firstRow="0" w:lastRow="0" w:firstColumn="0" w:lastColumn="0" w:oddVBand="0" w:evenVBand="0" w:oddHBand="1" w:evenHBand="0" w:firstRowFirstColumn="0" w:firstRowLastColumn="0" w:lastRowFirstColumn="0" w:lastRowLastColumn="0"/>
            </w:pPr>
            <w:r>
              <w:t>7 months</w:t>
            </w:r>
          </w:p>
        </w:tc>
        <w:tc>
          <w:tcPr>
            <w:tcW w:w="1872" w:type="dxa"/>
          </w:tcPr>
          <w:p w14:paraId="39BEBC28" w14:textId="77777777" w:rsidR="00E31A5A" w:rsidRDefault="00000000">
            <w:pPr>
              <w:cnfStyle w:val="000000100000" w:firstRow="0" w:lastRow="0" w:firstColumn="0" w:lastColumn="0" w:oddVBand="0" w:evenVBand="0" w:oddHBand="1" w:evenHBand="0" w:firstRowFirstColumn="0" w:firstRowLastColumn="0" w:lastRowFirstColumn="0" w:lastRowLastColumn="0"/>
            </w:pPr>
            <w:r>
              <w:t>Dec, Jan, Feb, Mar, Apr, May, Jun</w:t>
            </w:r>
          </w:p>
        </w:tc>
        <w:tc>
          <w:tcPr>
            <w:tcW w:w="1872" w:type="dxa"/>
          </w:tcPr>
          <w:p w14:paraId="65452F4F" w14:textId="77777777" w:rsidR="00E31A5A" w:rsidRDefault="00000000">
            <w:pPr>
              <w:cnfStyle w:val="000000100000" w:firstRow="0" w:lastRow="0" w:firstColumn="0" w:lastColumn="0" w:oddVBand="0" w:evenVBand="0" w:oddHBand="1" w:evenHBand="0" w:firstRowFirstColumn="0" w:firstRowLastColumn="0" w:lastRowFirstColumn="0" w:lastRowLastColumn="0"/>
            </w:pPr>
            <w:r>
              <w:t>t-3 to t+3</w:t>
            </w:r>
          </w:p>
        </w:tc>
      </w:tr>
      <w:tr w:rsidR="00E31A5A" w14:paraId="344618F9"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01A280" w14:textId="77777777" w:rsidR="00E31A5A" w:rsidRDefault="00000000">
            <w:r>
              <w:t>April</w:t>
            </w:r>
          </w:p>
        </w:tc>
        <w:tc>
          <w:tcPr>
            <w:tcW w:w="1872" w:type="dxa"/>
          </w:tcPr>
          <w:p w14:paraId="24C3E710" w14:textId="77777777" w:rsidR="00E31A5A" w:rsidRDefault="00000000">
            <w:pPr>
              <w:cnfStyle w:val="000000010000" w:firstRow="0" w:lastRow="0" w:firstColumn="0" w:lastColumn="0" w:oddVBand="0" w:evenVBand="0" w:oddHBand="0" w:evenHBand="1" w:firstRowFirstColumn="0" w:firstRowLastColumn="0" w:lastRowFirstColumn="0" w:lastRowLastColumn="0"/>
            </w:pPr>
            <w:r>
              <w:t>Apr 2025</w:t>
            </w:r>
          </w:p>
        </w:tc>
        <w:tc>
          <w:tcPr>
            <w:tcW w:w="1872" w:type="dxa"/>
          </w:tcPr>
          <w:p w14:paraId="0A840D22" w14:textId="77777777" w:rsidR="00E31A5A" w:rsidRDefault="00000000">
            <w:pPr>
              <w:cnfStyle w:val="000000010000" w:firstRow="0" w:lastRow="0" w:firstColumn="0" w:lastColumn="0" w:oddVBand="0" w:evenVBand="0" w:oddHBand="0" w:evenHBand="1" w:firstRowFirstColumn="0" w:firstRowLastColumn="0" w:lastRowFirstColumn="0" w:lastRowLastColumn="0"/>
            </w:pPr>
            <w:r>
              <w:t>7 months</w:t>
            </w:r>
          </w:p>
        </w:tc>
        <w:tc>
          <w:tcPr>
            <w:tcW w:w="1872" w:type="dxa"/>
          </w:tcPr>
          <w:p w14:paraId="06F88D4C" w14:textId="77777777" w:rsidR="00E31A5A" w:rsidRDefault="00000000">
            <w:pPr>
              <w:cnfStyle w:val="000000010000" w:firstRow="0" w:lastRow="0" w:firstColumn="0" w:lastColumn="0" w:oddVBand="0" w:evenVBand="0" w:oddHBand="0" w:evenHBand="1" w:firstRowFirstColumn="0" w:firstRowLastColumn="0" w:lastRowFirstColumn="0" w:lastRowLastColumn="0"/>
            </w:pPr>
            <w:r>
              <w:t>Jan, Feb, Mar, Apr, May, Jun, Jul</w:t>
            </w:r>
          </w:p>
        </w:tc>
        <w:tc>
          <w:tcPr>
            <w:tcW w:w="1872" w:type="dxa"/>
          </w:tcPr>
          <w:p w14:paraId="08515C14" w14:textId="77777777" w:rsidR="00E31A5A" w:rsidRDefault="00000000">
            <w:pPr>
              <w:cnfStyle w:val="000000010000" w:firstRow="0" w:lastRow="0" w:firstColumn="0" w:lastColumn="0" w:oddVBand="0" w:evenVBand="0" w:oddHBand="0" w:evenHBand="1" w:firstRowFirstColumn="0" w:firstRowLastColumn="0" w:lastRowFirstColumn="0" w:lastRowLastColumn="0"/>
            </w:pPr>
            <w:r>
              <w:t>t-3 to t+3</w:t>
            </w:r>
          </w:p>
        </w:tc>
      </w:tr>
      <w:tr w:rsidR="00E31A5A" w14:paraId="4FEE07EA"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38DAA8" w14:textId="77777777" w:rsidR="00E31A5A" w:rsidRDefault="00000000">
            <w:r>
              <w:t>Control</w:t>
            </w:r>
          </w:p>
        </w:tc>
        <w:tc>
          <w:tcPr>
            <w:tcW w:w="1872" w:type="dxa"/>
          </w:tcPr>
          <w:p w14:paraId="20291C7A" w14:textId="77777777" w:rsidR="00E31A5A" w:rsidRDefault="00000000">
            <w:pPr>
              <w:cnfStyle w:val="000000100000" w:firstRow="0" w:lastRow="0" w:firstColumn="0" w:lastColumn="0" w:oddVBand="0" w:evenVBand="0" w:oddHBand="1" w:evenHBand="0" w:firstRowFirstColumn="0" w:firstRowLastColumn="0" w:lastRowFirstColumn="0" w:lastRowLastColumn="0"/>
            </w:pPr>
            <w:r>
              <w:t>Never treated</w:t>
            </w:r>
          </w:p>
        </w:tc>
        <w:tc>
          <w:tcPr>
            <w:tcW w:w="1872" w:type="dxa"/>
          </w:tcPr>
          <w:p w14:paraId="643625B3" w14:textId="77777777" w:rsidR="00E31A5A" w:rsidRDefault="00000000">
            <w:pPr>
              <w:cnfStyle w:val="000000100000" w:firstRow="0" w:lastRow="0" w:firstColumn="0" w:lastColumn="0" w:oddVBand="0" w:evenVBand="0" w:oddHBand="1" w:evenHBand="0" w:firstRowFirstColumn="0" w:firstRowLastColumn="0" w:lastRowFirstColumn="0" w:lastRowLastColumn="0"/>
            </w:pPr>
            <w:r>
              <w:t>10 months</w:t>
            </w:r>
          </w:p>
        </w:tc>
        <w:tc>
          <w:tcPr>
            <w:tcW w:w="1872" w:type="dxa"/>
          </w:tcPr>
          <w:p w14:paraId="0C5120CB" w14:textId="77777777" w:rsidR="00E31A5A" w:rsidRDefault="00000000">
            <w:pPr>
              <w:cnfStyle w:val="000000100000" w:firstRow="0" w:lastRow="0" w:firstColumn="0" w:lastColumn="0" w:oddVBand="0" w:evenVBand="0" w:oddHBand="1" w:evenHBand="0" w:firstRowFirstColumn="0" w:firstRowLastColumn="0" w:lastRowFirstColumn="0" w:lastRowLastColumn="0"/>
            </w:pPr>
            <w:r>
              <w:t>Oct 2024 - Jul 2025</w:t>
            </w:r>
          </w:p>
        </w:tc>
        <w:tc>
          <w:tcPr>
            <w:tcW w:w="1872" w:type="dxa"/>
          </w:tcPr>
          <w:p w14:paraId="1F63BA47" w14:textId="77777777" w:rsidR="00E31A5A" w:rsidRDefault="00000000">
            <w:pPr>
              <w:cnfStyle w:val="000000100000" w:firstRow="0" w:lastRow="0" w:firstColumn="0" w:lastColumn="0" w:oddVBand="0" w:evenVBand="0" w:oddHBand="1" w:evenHBand="0" w:firstRowFirstColumn="0" w:firstRowLastColumn="0" w:lastRowFirstColumn="0" w:lastRowLastColumn="0"/>
            </w:pPr>
            <w:r>
              <w:t>All months</w:t>
            </w:r>
          </w:p>
        </w:tc>
      </w:tr>
    </w:tbl>
    <w:p w14:paraId="79B278D7" w14:textId="77777777" w:rsidR="00E31A5A" w:rsidRDefault="00000000">
      <w:pPr>
        <w:pStyle w:val="berschrift3"/>
      </w:pPr>
      <w:r>
        <w:t>3B.2 Estimation Results</w:t>
      </w:r>
    </w:p>
    <w:p w14:paraId="4ED2D255" w14:textId="77777777" w:rsidR="00E31A5A" w:rsidRDefault="00000000">
      <w:r>
        <w:rPr>
          <w:b/>
        </w:rPr>
        <w:t xml:space="preserve">Model: </w:t>
      </w:r>
      <w:r>
        <w:t>Two-way fixed effects with game and time fixed effects. Standard errors clustered at game level.</w:t>
      </w:r>
    </w:p>
    <w:p w14:paraId="08DBD508" w14:textId="77777777" w:rsidR="00E31A5A" w:rsidRDefault="00000000">
      <w:pPr>
        <w:pStyle w:val="IntensivesZitat"/>
      </w:pPr>
      <w:r>
        <w:t>Table 3B.2: Symmetric DiD Results</w:t>
      </w:r>
    </w:p>
    <w:tbl>
      <w:tblPr>
        <w:tblStyle w:val="HellesRaster-Akzent1"/>
        <w:tblW w:w="0" w:type="auto"/>
        <w:tblLook w:val="04A0" w:firstRow="1" w:lastRow="0" w:firstColumn="1" w:lastColumn="0" w:noHBand="0" w:noVBand="1"/>
      </w:tblPr>
      <w:tblGrid>
        <w:gridCol w:w="1560"/>
        <w:gridCol w:w="1560"/>
        <w:gridCol w:w="1560"/>
        <w:gridCol w:w="1560"/>
        <w:gridCol w:w="1560"/>
        <w:gridCol w:w="1560"/>
      </w:tblGrid>
      <w:tr w:rsidR="00E31A5A" w14:paraId="0B68BBBD"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48858B0" w14:textId="77777777" w:rsidR="00E31A5A" w:rsidRDefault="00000000">
            <w:r>
              <w:t>Coefficient</w:t>
            </w:r>
          </w:p>
        </w:tc>
        <w:tc>
          <w:tcPr>
            <w:tcW w:w="1560" w:type="dxa"/>
          </w:tcPr>
          <w:p w14:paraId="2DBF4E67" w14:textId="77777777" w:rsidR="00E31A5A" w:rsidRDefault="00000000">
            <w:pPr>
              <w:cnfStyle w:val="100000000000" w:firstRow="1" w:lastRow="0" w:firstColumn="0" w:lastColumn="0" w:oddVBand="0" w:evenVBand="0" w:oddHBand="0" w:evenHBand="0" w:firstRowFirstColumn="0" w:firstRowLastColumn="0" w:lastRowFirstColumn="0" w:lastRowLastColumn="0"/>
            </w:pPr>
            <w:r>
              <w:t>Std. Error</w:t>
            </w:r>
          </w:p>
        </w:tc>
        <w:tc>
          <w:tcPr>
            <w:tcW w:w="1560" w:type="dxa"/>
          </w:tcPr>
          <w:p w14:paraId="1F2F7FA4" w14:textId="77777777" w:rsidR="00E31A5A"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7C406F38" w14:textId="77777777" w:rsidR="00E31A5A" w:rsidRDefault="00000000">
            <w:pPr>
              <w:cnfStyle w:val="100000000000" w:firstRow="1" w:lastRow="0" w:firstColumn="0" w:lastColumn="0" w:oddVBand="0" w:evenVBand="0" w:oddHBand="0" w:evenHBand="0" w:firstRowFirstColumn="0" w:firstRowLastColumn="0" w:lastRowFirstColumn="0" w:lastRowLastColumn="0"/>
            </w:pPr>
            <w:r>
              <w:t>95% CI</w:t>
            </w:r>
          </w:p>
        </w:tc>
        <w:tc>
          <w:tcPr>
            <w:tcW w:w="1560" w:type="dxa"/>
          </w:tcPr>
          <w:p w14:paraId="4EF7C3D5" w14:textId="77777777" w:rsidR="00E31A5A"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1560" w:type="dxa"/>
          </w:tcPr>
          <w:p w14:paraId="1220B266" w14:textId="77777777" w:rsidR="00E31A5A" w:rsidRDefault="00000000">
            <w:pPr>
              <w:cnfStyle w:val="100000000000" w:firstRow="1" w:lastRow="0" w:firstColumn="0" w:lastColumn="0" w:oddVBand="0" w:evenVBand="0" w:oddHBand="0" w:evenHBand="0" w:firstRowFirstColumn="0" w:firstRowLastColumn="0" w:lastRowFirstColumn="0" w:lastRowLastColumn="0"/>
            </w:pPr>
            <w:r>
              <w:t>Significant</w:t>
            </w:r>
          </w:p>
        </w:tc>
      </w:tr>
      <w:tr w:rsidR="00E31A5A" w14:paraId="1B3DF7CE"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BF6FC7A" w14:textId="77777777" w:rsidR="00E31A5A" w:rsidRDefault="00000000">
            <w:r>
              <w:t>0.0283</w:t>
            </w:r>
          </w:p>
        </w:tc>
        <w:tc>
          <w:tcPr>
            <w:tcW w:w="1560" w:type="dxa"/>
          </w:tcPr>
          <w:p w14:paraId="5D40C4B6" w14:textId="77777777" w:rsidR="00E31A5A" w:rsidRDefault="00000000">
            <w:pPr>
              <w:cnfStyle w:val="000000100000" w:firstRow="0" w:lastRow="0" w:firstColumn="0" w:lastColumn="0" w:oddVBand="0" w:evenVBand="0" w:oddHBand="1" w:evenHBand="0" w:firstRowFirstColumn="0" w:firstRowLastColumn="0" w:lastRowFirstColumn="0" w:lastRowLastColumn="0"/>
            </w:pPr>
            <w:r>
              <w:t>0.0296</w:t>
            </w:r>
          </w:p>
        </w:tc>
        <w:tc>
          <w:tcPr>
            <w:tcW w:w="1560" w:type="dxa"/>
          </w:tcPr>
          <w:p w14:paraId="18C765A4" w14:textId="77777777" w:rsidR="00E31A5A" w:rsidRDefault="00000000">
            <w:pPr>
              <w:cnfStyle w:val="000000100000" w:firstRow="0" w:lastRow="0" w:firstColumn="0" w:lastColumn="0" w:oddVBand="0" w:evenVBand="0" w:oddHBand="1" w:evenHBand="0" w:firstRowFirstColumn="0" w:firstRowLastColumn="0" w:lastRowFirstColumn="0" w:lastRowLastColumn="0"/>
            </w:pPr>
            <w:r>
              <w:t>0.339</w:t>
            </w:r>
          </w:p>
        </w:tc>
        <w:tc>
          <w:tcPr>
            <w:tcW w:w="1560" w:type="dxa"/>
          </w:tcPr>
          <w:p w14:paraId="34931128" w14:textId="77777777" w:rsidR="00E31A5A" w:rsidRDefault="00000000">
            <w:pPr>
              <w:cnfStyle w:val="000000100000" w:firstRow="0" w:lastRow="0" w:firstColumn="0" w:lastColumn="0" w:oddVBand="0" w:evenVBand="0" w:oddHBand="1" w:evenHBand="0" w:firstRowFirstColumn="0" w:firstRowLastColumn="0" w:lastRowFirstColumn="0" w:lastRowLastColumn="0"/>
            </w:pPr>
            <w:r>
              <w:t>[-0.030, 0.086]</w:t>
            </w:r>
          </w:p>
        </w:tc>
        <w:tc>
          <w:tcPr>
            <w:tcW w:w="1560" w:type="dxa"/>
          </w:tcPr>
          <w:p w14:paraId="0905F770" w14:textId="77777777" w:rsidR="00E31A5A" w:rsidRDefault="00000000">
            <w:pPr>
              <w:cnfStyle w:val="000000100000" w:firstRow="0" w:lastRow="0" w:firstColumn="0" w:lastColumn="0" w:oddVBand="0" w:evenVBand="0" w:oddHBand="1" w:evenHBand="0" w:firstRowFirstColumn="0" w:firstRowLastColumn="0" w:lastRowFirstColumn="0" w:lastRowLastColumn="0"/>
            </w:pPr>
            <w:r>
              <w:t>+2.87%</w:t>
            </w:r>
          </w:p>
        </w:tc>
        <w:tc>
          <w:tcPr>
            <w:tcW w:w="1560" w:type="dxa"/>
          </w:tcPr>
          <w:p w14:paraId="44F2373D" w14:textId="77777777" w:rsidR="00E31A5A" w:rsidRDefault="00000000">
            <w:pPr>
              <w:cnfStyle w:val="000000100000" w:firstRow="0" w:lastRow="0" w:firstColumn="0" w:lastColumn="0" w:oddVBand="0" w:evenVBand="0" w:oddHBand="1" w:evenHBand="0" w:firstRowFirstColumn="0" w:firstRowLastColumn="0" w:lastRowFirstColumn="0" w:lastRowLastColumn="0"/>
            </w:pPr>
            <w:r>
              <w:t>No</w:t>
            </w:r>
          </w:p>
        </w:tc>
      </w:tr>
    </w:tbl>
    <w:p w14:paraId="335848BE" w14:textId="77777777" w:rsidR="00E31A5A" w:rsidRDefault="00000000">
      <w:r>
        <w:rPr>
          <w:b/>
        </w:rPr>
        <w:t xml:space="preserve">Sample: </w:t>
      </w:r>
      <w:r>
        <w:t>2,633 observations from 310 games. Treatment: 2,233 observations (319 games × 7 months). Control: 400 observations (40 games × 10 months).</w:t>
      </w:r>
    </w:p>
    <w:p w14:paraId="5CEB6F9F" w14:textId="77777777" w:rsidR="00E31A5A" w:rsidRDefault="00000000">
      <w:r>
        <w:rPr>
          <w:b/>
        </w:rPr>
        <w:t xml:space="preserve">Interpretation: </w:t>
      </w:r>
      <w:r>
        <w:t>The symmetric DiD estimate suggests a +2.87% increase in player engagement following major patches, but this effect is not statistically significant (p=0.339). The 95% confidence interval [-0.0%, 0.1%] includes zero, indicating we cannot rule out the null hypothesis of no effect.</w:t>
      </w:r>
    </w:p>
    <w:p w14:paraId="4F26155B" w14:textId="77777777" w:rsidR="00E31A5A" w:rsidRDefault="00000000">
      <w:pPr>
        <w:pStyle w:val="berschrift3"/>
      </w:pPr>
      <w:r>
        <w:t>3B.3 Symmetric Event Study - Cohort-Specific Dynamics</w:t>
      </w:r>
    </w:p>
    <w:p w14:paraId="030E21CC" w14:textId="77777777" w:rsidR="00E31A5A" w:rsidRDefault="00000000">
      <w:r>
        <w:t>Event study model: Cohort × relative time interactions with t=-1 as reference period. All cohorts have symmetric windows from t-3 to t+3.</w:t>
      </w:r>
    </w:p>
    <w:p w14:paraId="50334B80" w14:textId="77777777" w:rsidR="00E31A5A" w:rsidRDefault="00000000">
      <w:pPr>
        <w:pStyle w:val="IntensivesZitat"/>
      </w:pPr>
      <w:r>
        <w:t>Table 3B.3: Event Study Summary - Key Findings</w:t>
      </w:r>
    </w:p>
    <w:tbl>
      <w:tblPr>
        <w:tblStyle w:val="HellesRaster-Akzent1"/>
        <w:tblW w:w="0" w:type="auto"/>
        <w:tblLook w:val="04A0" w:firstRow="1" w:lastRow="0" w:firstColumn="1" w:lastColumn="0" w:noHBand="0" w:noVBand="1"/>
      </w:tblPr>
      <w:tblGrid>
        <w:gridCol w:w="2340"/>
        <w:gridCol w:w="2340"/>
        <w:gridCol w:w="2340"/>
        <w:gridCol w:w="2340"/>
      </w:tblGrid>
      <w:tr w:rsidR="00E31A5A" w14:paraId="35B809FD"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AE456C6" w14:textId="77777777" w:rsidR="00E31A5A" w:rsidRDefault="00000000">
            <w:r>
              <w:t>Cohort (N games)</w:t>
            </w:r>
          </w:p>
        </w:tc>
        <w:tc>
          <w:tcPr>
            <w:tcW w:w="2340" w:type="dxa"/>
          </w:tcPr>
          <w:p w14:paraId="04E1E2A5" w14:textId="77777777" w:rsidR="00E31A5A" w:rsidRDefault="00000000">
            <w:pPr>
              <w:cnfStyle w:val="100000000000" w:firstRow="1" w:lastRow="0" w:firstColumn="0" w:lastColumn="0" w:oddVBand="0" w:evenVBand="0" w:oddHBand="0" w:evenHBand="0" w:firstRowFirstColumn="0" w:firstRowLastColumn="0" w:lastRowFirstColumn="0" w:lastRowLastColumn="0"/>
            </w:pPr>
            <w:r>
              <w:t>Significant Effects</w:t>
            </w:r>
          </w:p>
        </w:tc>
        <w:tc>
          <w:tcPr>
            <w:tcW w:w="2340" w:type="dxa"/>
          </w:tcPr>
          <w:p w14:paraId="68C078F4" w14:textId="77777777" w:rsidR="00E31A5A" w:rsidRDefault="00000000">
            <w:pPr>
              <w:cnfStyle w:val="100000000000" w:firstRow="1" w:lastRow="0" w:firstColumn="0" w:lastColumn="0" w:oddVBand="0" w:evenVBand="0" w:oddHBand="0" w:evenHBand="0" w:firstRowFirstColumn="0" w:firstRowLastColumn="0" w:lastRowFirstColumn="0" w:lastRowLastColumn="0"/>
            </w:pPr>
            <w:r>
              <w:t>Parallel Trends</w:t>
            </w:r>
          </w:p>
        </w:tc>
        <w:tc>
          <w:tcPr>
            <w:tcW w:w="2340" w:type="dxa"/>
          </w:tcPr>
          <w:p w14:paraId="3AED1E81" w14:textId="77777777" w:rsidR="00E31A5A" w:rsidRDefault="00000000">
            <w:pPr>
              <w:cnfStyle w:val="100000000000" w:firstRow="1" w:lastRow="0" w:firstColumn="0" w:lastColumn="0" w:oddVBand="0" w:evenVBand="0" w:oddHBand="0" w:evenHBand="0" w:firstRowFirstColumn="0" w:firstRowLastColumn="0" w:lastRowFirstColumn="0" w:lastRowLastColumn="0"/>
            </w:pPr>
            <w:r>
              <w:t>Notes</w:t>
            </w:r>
          </w:p>
        </w:tc>
      </w:tr>
      <w:tr w:rsidR="00E31A5A" w14:paraId="79C0C3CD"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64018E" w14:textId="77777777" w:rsidR="00E31A5A" w:rsidRDefault="00000000">
            <w:r>
              <w:lastRenderedPageBreak/>
              <w:t>January (88)</w:t>
            </w:r>
          </w:p>
        </w:tc>
        <w:tc>
          <w:tcPr>
            <w:tcW w:w="2340" w:type="dxa"/>
          </w:tcPr>
          <w:p w14:paraId="479C8BD6" w14:textId="77777777" w:rsidR="00E31A5A" w:rsidRDefault="00000000">
            <w:pPr>
              <w:cnfStyle w:val="000000100000" w:firstRow="0" w:lastRow="0" w:firstColumn="0" w:lastColumn="0" w:oddVBand="0" w:evenVBand="0" w:oddHBand="1" w:evenHBand="0" w:firstRowFirstColumn="0" w:firstRowLastColumn="0" w:lastRowFirstColumn="0" w:lastRowLastColumn="0"/>
            </w:pPr>
            <w:r>
              <w:t>t=0 (p=0.081), t+3 (p=0.068)</w:t>
            </w:r>
          </w:p>
        </w:tc>
        <w:tc>
          <w:tcPr>
            <w:tcW w:w="2340" w:type="dxa"/>
          </w:tcPr>
          <w:p w14:paraId="5BAD7645" w14:textId="77777777" w:rsidR="00E31A5A" w:rsidRDefault="00000000">
            <w:pPr>
              <w:cnfStyle w:val="000000100000" w:firstRow="0" w:lastRow="0" w:firstColumn="0" w:lastColumn="0" w:oddVBand="0" w:evenVBand="0" w:oddHBand="1" w:evenHBand="0" w:firstRowFirstColumn="0" w:firstRowLastColumn="0" w:lastRowFirstColumn="0" w:lastRowLastColumn="0"/>
            </w:pPr>
            <w:r>
              <w:t>✓ Pass</w:t>
            </w:r>
          </w:p>
        </w:tc>
        <w:tc>
          <w:tcPr>
            <w:tcW w:w="2340" w:type="dxa"/>
          </w:tcPr>
          <w:p w14:paraId="289F13A1" w14:textId="77777777" w:rsidR="00E31A5A" w:rsidRDefault="00000000">
            <w:pPr>
              <w:cnfStyle w:val="000000100000" w:firstRow="0" w:lastRow="0" w:firstColumn="0" w:lastColumn="0" w:oddVBand="0" w:evenVBand="0" w:oddHBand="1" w:evenHBand="0" w:firstRowFirstColumn="0" w:firstRowLastColumn="0" w:lastRowFirstColumn="0" w:lastRowLastColumn="0"/>
            </w:pPr>
            <w:r>
              <w:t>Marginal effects at treatment and late post</w:t>
            </w:r>
          </w:p>
        </w:tc>
      </w:tr>
      <w:tr w:rsidR="00E31A5A" w14:paraId="3661B0AD"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249824" w14:textId="77777777" w:rsidR="00E31A5A" w:rsidRDefault="00000000">
            <w:r>
              <w:t>February (79)</w:t>
            </w:r>
          </w:p>
        </w:tc>
        <w:tc>
          <w:tcPr>
            <w:tcW w:w="2340" w:type="dxa"/>
          </w:tcPr>
          <w:p w14:paraId="5DED82E7" w14:textId="77777777" w:rsidR="00E31A5A" w:rsidRDefault="00000000">
            <w:pPr>
              <w:cnfStyle w:val="000000010000" w:firstRow="0" w:lastRow="0" w:firstColumn="0" w:lastColumn="0" w:oddVBand="0" w:evenVBand="0" w:oddHBand="0" w:evenHBand="1" w:firstRowFirstColumn="0" w:firstRowLastColumn="0" w:lastRowFirstColumn="0" w:lastRowLastColumn="0"/>
            </w:pPr>
            <w:r>
              <w:t>None</w:t>
            </w:r>
          </w:p>
        </w:tc>
        <w:tc>
          <w:tcPr>
            <w:tcW w:w="2340" w:type="dxa"/>
          </w:tcPr>
          <w:p w14:paraId="7BC3D26C" w14:textId="77777777" w:rsidR="00E31A5A" w:rsidRDefault="00000000">
            <w:pPr>
              <w:cnfStyle w:val="000000010000" w:firstRow="0" w:lastRow="0" w:firstColumn="0" w:lastColumn="0" w:oddVBand="0" w:evenVBand="0" w:oddHBand="0" w:evenHBand="1" w:firstRowFirstColumn="0" w:firstRowLastColumn="0" w:lastRowFirstColumn="0" w:lastRowLastColumn="0"/>
            </w:pPr>
            <w:r>
              <w:t>✓ Pass</w:t>
            </w:r>
          </w:p>
        </w:tc>
        <w:tc>
          <w:tcPr>
            <w:tcW w:w="2340" w:type="dxa"/>
          </w:tcPr>
          <w:p w14:paraId="226C78C4" w14:textId="77777777" w:rsidR="00E31A5A" w:rsidRDefault="00000000">
            <w:pPr>
              <w:cnfStyle w:val="000000010000" w:firstRow="0" w:lastRow="0" w:firstColumn="0" w:lastColumn="0" w:oddVBand="0" w:evenVBand="0" w:oddHBand="0" w:evenHBand="1" w:firstRowFirstColumn="0" w:firstRowLastColumn="0" w:lastRowFirstColumn="0" w:lastRowLastColumn="0"/>
            </w:pPr>
            <w:r>
              <w:t>No significant effects</w:t>
            </w:r>
          </w:p>
        </w:tc>
      </w:tr>
      <w:tr w:rsidR="00E31A5A" w14:paraId="3F57A89B"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C39C89" w14:textId="77777777" w:rsidR="00E31A5A" w:rsidRDefault="00000000">
            <w:r>
              <w:t>March (78)</w:t>
            </w:r>
          </w:p>
        </w:tc>
        <w:tc>
          <w:tcPr>
            <w:tcW w:w="2340" w:type="dxa"/>
          </w:tcPr>
          <w:p w14:paraId="57591CBE" w14:textId="77777777" w:rsidR="00E31A5A" w:rsidRDefault="00000000">
            <w:pPr>
              <w:cnfStyle w:val="000000100000" w:firstRow="0" w:lastRow="0" w:firstColumn="0" w:lastColumn="0" w:oddVBand="0" w:evenVBand="0" w:oddHBand="1" w:evenHBand="0" w:firstRowFirstColumn="0" w:firstRowLastColumn="0" w:lastRowFirstColumn="0" w:lastRowLastColumn="0"/>
            </w:pPr>
            <w:r>
              <w:t>t-2 (p=0.079)</w:t>
            </w:r>
          </w:p>
        </w:tc>
        <w:tc>
          <w:tcPr>
            <w:tcW w:w="2340" w:type="dxa"/>
          </w:tcPr>
          <w:p w14:paraId="10B09139" w14:textId="77777777" w:rsidR="00E31A5A" w:rsidRDefault="00000000">
            <w:pPr>
              <w:cnfStyle w:val="000000100000" w:firstRow="0" w:lastRow="0" w:firstColumn="0" w:lastColumn="0" w:oddVBand="0" w:evenVBand="0" w:oddHBand="1" w:evenHBand="0" w:firstRowFirstColumn="0" w:firstRowLastColumn="0" w:lastRowFirstColumn="0" w:lastRowLastColumn="0"/>
            </w:pPr>
            <w:r>
              <w:t>⚠ Concern</w:t>
            </w:r>
          </w:p>
        </w:tc>
        <w:tc>
          <w:tcPr>
            <w:tcW w:w="2340" w:type="dxa"/>
          </w:tcPr>
          <w:p w14:paraId="60BFF645" w14:textId="77777777" w:rsidR="00E31A5A" w:rsidRDefault="00000000">
            <w:pPr>
              <w:cnfStyle w:val="000000100000" w:firstRow="0" w:lastRow="0" w:firstColumn="0" w:lastColumn="0" w:oddVBand="0" w:evenVBand="0" w:oddHBand="1" w:evenHBand="0" w:firstRowFirstColumn="0" w:firstRowLastColumn="0" w:lastRowFirstColumn="0" w:lastRowLastColumn="0"/>
            </w:pPr>
            <w:r>
              <w:t>Pre-treatment effect - potential violation</w:t>
            </w:r>
          </w:p>
        </w:tc>
      </w:tr>
      <w:tr w:rsidR="00E31A5A" w14:paraId="591146B2"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EC1F99" w14:textId="77777777" w:rsidR="00E31A5A" w:rsidRDefault="00000000">
            <w:r>
              <w:t>April (74)</w:t>
            </w:r>
          </w:p>
        </w:tc>
        <w:tc>
          <w:tcPr>
            <w:tcW w:w="2340" w:type="dxa"/>
          </w:tcPr>
          <w:p w14:paraId="1D84E988" w14:textId="77777777" w:rsidR="00E31A5A" w:rsidRDefault="00000000">
            <w:pPr>
              <w:cnfStyle w:val="000000010000" w:firstRow="0" w:lastRow="0" w:firstColumn="0" w:lastColumn="0" w:oddVBand="0" w:evenVBand="0" w:oddHBand="0" w:evenHBand="1" w:firstRowFirstColumn="0" w:firstRowLastColumn="0" w:lastRowFirstColumn="0" w:lastRowLastColumn="0"/>
            </w:pPr>
            <w:r>
              <w:t>None</w:t>
            </w:r>
          </w:p>
        </w:tc>
        <w:tc>
          <w:tcPr>
            <w:tcW w:w="2340" w:type="dxa"/>
          </w:tcPr>
          <w:p w14:paraId="0EFFBBAF" w14:textId="77777777" w:rsidR="00E31A5A" w:rsidRDefault="00000000">
            <w:pPr>
              <w:cnfStyle w:val="000000010000" w:firstRow="0" w:lastRow="0" w:firstColumn="0" w:lastColumn="0" w:oddVBand="0" w:evenVBand="0" w:oddHBand="0" w:evenHBand="1" w:firstRowFirstColumn="0" w:firstRowLastColumn="0" w:lastRowFirstColumn="0" w:lastRowLastColumn="0"/>
            </w:pPr>
            <w:r>
              <w:t>✓ Pass</w:t>
            </w:r>
          </w:p>
        </w:tc>
        <w:tc>
          <w:tcPr>
            <w:tcW w:w="2340" w:type="dxa"/>
          </w:tcPr>
          <w:p w14:paraId="03CFE1AC" w14:textId="77777777" w:rsidR="00E31A5A" w:rsidRDefault="00000000">
            <w:pPr>
              <w:cnfStyle w:val="000000010000" w:firstRow="0" w:lastRow="0" w:firstColumn="0" w:lastColumn="0" w:oddVBand="0" w:evenVBand="0" w:oddHBand="0" w:evenHBand="1" w:firstRowFirstColumn="0" w:firstRowLastColumn="0" w:lastRowFirstColumn="0" w:lastRowLastColumn="0"/>
            </w:pPr>
            <w:r>
              <w:t>No significant effects</w:t>
            </w:r>
          </w:p>
        </w:tc>
      </w:tr>
    </w:tbl>
    <w:p w14:paraId="06D1F1E2" w14:textId="77777777" w:rsidR="00E31A5A" w:rsidRDefault="00000000">
      <w:r>
        <w:rPr>
          <w:b/>
        </w:rPr>
        <w:t xml:space="preserve">Key Observations: </w:t>
      </w:r>
      <w:r>
        <w:t>Most cohorts show weak and non-significant treatment effects. The March cohort exhibits a marginally significant positive coefficient at t=-2 (β=0.0934, p=0.079), which is a pre-treatment period, raising concerns about parallel trends for this specific cohort.</w:t>
      </w:r>
    </w:p>
    <w:p w14:paraId="3F392F10" w14:textId="77777777" w:rsidR="00E31A5A" w:rsidRDefault="00000000">
      <w:pPr>
        <w:pStyle w:val="berschrift3"/>
      </w:pPr>
      <w:r>
        <w:t>3B.4 Comparison Across Specifications</w:t>
      </w:r>
    </w:p>
    <w:p w14:paraId="0FCF48FD" w14:textId="77777777" w:rsidR="00E31A5A" w:rsidRDefault="00000000">
      <w:pPr>
        <w:pStyle w:val="IntensivesZitat"/>
      </w:pPr>
      <w:r>
        <w:t>Table 3B.4: Three Staggered DiD Specifications Compared</w:t>
      </w:r>
    </w:p>
    <w:tbl>
      <w:tblPr>
        <w:tblStyle w:val="HellesRaster-Akzent1"/>
        <w:tblW w:w="0" w:type="auto"/>
        <w:tblLook w:val="04A0" w:firstRow="1" w:lastRow="0" w:firstColumn="1" w:lastColumn="0" w:noHBand="0" w:noVBand="1"/>
      </w:tblPr>
      <w:tblGrid>
        <w:gridCol w:w="1386"/>
        <w:gridCol w:w="1170"/>
        <w:gridCol w:w="1170"/>
        <w:gridCol w:w="1170"/>
        <w:gridCol w:w="1170"/>
        <w:gridCol w:w="1170"/>
        <w:gridCol w:w="1170"/>
        <w:gridCol w:w="1170"/>
      </w:tblGrid>
      <w:tr w:rsidR="00E31A5A" w14:paraId="2A641F18" w14:textId="77777777" w:rsidTr="00E31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E2FD306" w14:textId="77777777" w:rsidR="00E31A5A" w:rsidRDefault="00000000">
            <w:r>
              <w:t>Specification</w:t>
            </w:r>
          </w:p>
        </w:tc>
        <w:tc>
          <w:tcPr>
            <w:tcW w:w="1170" w:type="dxa"/>
          </w:tcPr>
          <w:p w14:paraId="2BBF611A" w14:textId="77777777" w:rsidR="00E31A5A" w:rsidRDefault="00000000">
            <w:pPr>
              <w:cnfStyle w:val="100000000000" w:firstRow="1" w:lastRow="0" w:firstColumn="0" w:lastColumn="0" w:oddVBand="0" w:evenVBand="0" w:oddHBand="0" w:evenHBand="0" w:firstRowFirstColumn="0" w:firstRowLastColumn="0" w:lastRowFirstColumn="0" w:lastRowLastColumn="0"/>
            </w:pPr>
            <w:r>
              <w:t>Time Span</w:t>
            </w:r>
          </w:p>
        </w:tc>
        <w:tc>
          <w:tcPr>
            <w:tcW w:w="1170" w:type="dxa"/>
          </w:tcPr>
          <w:p w14:paraId="67FCE6B4" w14:textId="77777777" w:rsidR="00E31A5A" w:rsidRDefault="00000000">
            <w:pPr>
              <w:cnfStyle w:val="100000000000" w:firstRow="1" w:lastRow="0" w:firstColumn="0" w:lastColumn="0" w:oddVBand="0" w:evenVBand="0" w:oddHBand="0" w:evenHBand="0" w:firstRowFirstColumn="0" w:firstRowLastColumn="0" w:lastRowFirstColumn="0" w:lastRowLastColumn="0"/>
            </w:pPr>
            <w:r>
              <w:t>Pre-Periods</w:t>
            </w:r>
          </w:p>
        </w:tc>
        <w:tc>
          <w:tcPr>
            <w:tcW w:w="1170" w:type="dxa"/>
          </w:tcPr>
          <w:p w14:paraId="6C2B736F" w14:textId="77777777" w:rsidR="00E31A5A" w:rsidRDefault="00000000">
            <w:pPr>
              <w:cnfStyle w:val="100000000000" w:firstRow="1" w:lastRow="0" w:firstColumn="0" w:lastColumn="0" w:oddVBand="0" w:evenVBand="0" w:oddHBand="0" w:evenHBand="0" w:firstRowFirstColumn="0" w:firstRowLastColumn="0" w:lastRowFirstColumn="0" w:lastRowLastColumn="0"/>
            </w:pPr>
            <w:r>
              <w:t>Effect</w:t>
            </w:r>
          </w:p>
        </w:tc>
        <w:tc>
          <w:tcPr>
            <w:tcW w:w="1170" w:type="dxa"/>
          </w:tcPr>
          <w:p w14:paraId="59F866AE" w14:textId="77777777" w:rsidR="00E31A5A"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170" w:type="dxa"/>
          </w:tcPr>
          <w:p w14:paraId="2987F6B5" w14:textId="77777777" w:rsidR="00E31A5A" w:rsidRDefault="00000000">
            <w:pPr>
              <w:cnfStyle w:val="100000000000" w:firstRow="1" w:lastRow="0" w:firstColumn="0" w:lastColumn="0" w:oddVBand="0" w:evenVBand="0" w:oddHBand="0" w:evenHBand="0" w:firstRowFirstColumn="0" w:firstRowLastColumn="0" w:lastRowFirstColumn="0" w:lastRowLastColumn="0"/>
            </w:pPr>
            <w:r>
              <w:t>N (games)</w:t>
            </w:r>
          </w:p>
        </w:tc>
        <w:tc>
          <w:tcPr>
            <w:tcW w:w="1170" w:type="dxa"/>
          </w:tcPr>
          <w:p w14:paraId="60103AE5" w14:textId="77777777" w:rsidR="00E31A5A" w:rsidRDefault="00000000">
            <w:pPr>
              <w:cnfStyle w:val="100000000000" w:firstRow="1" w:lastRow="0" w:firstColumn="0" w:lastColumn="0" w:oddVBand="0" w:evenVBand="0" w:oddHBand="0" w:evenHBand="0" w:firstRowFirstColumn="0" w:firstRowLastColumn="0" w:lastRowFirstColumn="0" w:lastRowLastColumn="0"/>
            </w:pPr>
            <w:r>
              <w:t>N (obs)</w:t>
            </w:r>
          </w:p>
        </w:tc>
        <w:tc>
          <w:tcPr>
            <w:tcW w:w="1170" w:type="dxa"/>
          </w:tcPr>
          <w:p w14:paraId="69B0456C" w14:textId="77777777" w:rsidR="00E31A5A" w:rsidRDefault="00000000">
            <w:pPr>
              <w:cnfStyle w:val="100000000000" w:firstRow="1" w:lastRow="0" w:firstColumn="0" w:lastColumn="0" w:oddVBand="0" w:evenVBand="0" w:oddHBand="0" w:evenHBand="0" w:firstRowFirstColumn="0" w:firstRowLastColumn="0" w:lastRowFirstColumn="0" w:lastRowLastColumn="0"/>
            </w:pPr>
            <w:r>
              <w:t>Sig</w:t>
            </w:r>
          </w:p>
        </w:tc>
      </w:tr>
      <w:tr w:rsidR="00E31A5A" w14:paraId="1B11DBF5"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E09B3E8" w14:textId="77777777" w:rsidR="00E31A5A" w:rsidRDefault="00000000">
            <w:r>
              <w:t>Symmetric</w:t>
            </w:r>
          </w:p>
        </w:tc>
        <w:tc>
          <w:tcPr>
            <w:tcW w:w="1170" w:type="dxa"/>
          </w:tcPr>
          <w:p w14:paraId="3547C378" w14:textId="77777777" w:rsidR="00E31A5A" w:rsidRDefault="00000000">
            <w:pPr>
              <w:cnfStyle w:val="000000100000" w:firstRow="0" w:lastRow="0" w:firstColumn="0" w:lastColumn="0" w:oddVBand="0" w:evenVBand="0" w:oddHBand="1" w:evenHBand="0" w:firstRowFirstColumn="0" w:firstRowLastColumn="0" w:lastRowFirstColumn="0" w:lastRowLastColumn="0"/>
            </w:pPr>
            <w:r>
              <w:t>Oct 24-Jul 25</w:t>
            </w:r>
          </w:p>
        </w:tc>
        <w:tc>
          <w:tcPr>
            <w:tcW w:w="1170" w:type="dxa"/>
          </w:tcPr>
          <w:p w14:paraId="1D22938F" w14:textId="77777777" w:rsidR="00E31A5A" w:rsidRDefault="00000000">
            <w:pPr>
              <w:cnfStyle w:val="000000100000" w:firstRow="0" w:lastRow="0" w:firstColumn="0" w:lastColumn="0" w:oddVBand="0" w:evenVBand="0" w:oddHBand="1" w:evenHBand="0" w:firstRowFirstColumn="0" w:firstRowLastColumn="0" w:lastRowFirstColumn="0" w:lastRowLastColumn="0"/>
            </w:pPr>
            <w:r>
              <w:t>3</w:t>
            </w:r>
          </w:p>
        </w:tc>
        <w:tc>
          <w:tcPr>
            <w:tcW w:w="1170" w:type="dxa"/>
          </w:tcPr>
          <w:p w14:paraId="52839AEE" w14:textId="77777777" w:rsidR="00E31A5A" w:rsidRDefault="00000000">
            <w:pPr>
              <w:cnfStyle w:val="000000100000" w:firstRow="0" w:lastRow="0" w:firstColumn="0" w:lastColumn="0" w:oddVBand="0" w:evenVBand="0" w:oddHBand="1" w:evenHBand="0" w:firstRowFirstColumn="0" w:firstRowLastColumn="0" w:lastRowFirstColumn="0" w:lastRowLastColumn="0"/>
            </w:pPr>
            <w:r>
              <w:t>+2.87%</w:t>
            </w:r>
          </w:p>
        </w:tc>
        <w:tc>
          <w:tcPr>
            <w:tcW w:w="1170" w:type="dxa"/>
          </w:tcPr>
          <w:p w14:paraId="1DDB8F54" w14:textId="77777777" w:rsidR="00E31A5A" w:rsidRDefault="00000000">
            <w:pPr>
              <w:cnfStyle w:val="000000100000" w:firstRow="0" w:lastRow="0" w:firstColumn="0" w:lastColumn="0" w:oddVBand="0" w:evenVBand="0" w:oddHBand="1" w:evenHBand="0" w:firstRowFirstColumn="0" w:firstRowLastColumn="0" w:lastRowFirstColumn="0" w:lastRowLastColumn="0"/>
            </w:pPr>
            <w:r>
              <w:t>0.339</w:t>
            </w:r>
          </w:p>
        </w:tc>
        <w:tc>
          <w:tcPr>
            <w:tcW w:w="1170" w:type="dxa"/>
          </w:tcPr>
          <w:p w14:paraId="0B164E74" w14:textId="77777777" w:rsidR="00E31A5A" w:rsidRDefault="00000000">
            <w:pPr>
              <w:cnfStyle w:val="000000100000" w:firstRow="0" w:lastRow="0" w:firstColumn="0" w:lastColumn="0" w:oddVBand="0" w:evenVBand="0" w:oddHBand="1" w:evenHBand="0" w:firstRowFirstColumn="0" w:firstRowLastColumn="0" w:lastRowFirstColumn="0" w:lastRowLastColumn="0"/>
            </w:pPr>
            <w:r>
              <w:t>310</w:t>
            </w:r>
          </w:p>
        </w:tc>
        <w:tc>
          <w:tcPr>
            <w:tcW w:w="1170" w:type="dxa"/>
          </w:tcPr>
          <w:p w14:paraId="71CC6FCF" w14:textId="77777777" w:rsidR="00E31A5A" w:rsidRDefault="00000000">
            <w:pPr>
              <w:cnfStyle w:val="000000100000" w:firstRow="0" w:lastRow="0" w:firstColumn="0" w:lastColumn="0" w:oddVBand="0" w:evenVBand="0" w:oddHBand="1" w:evenHBand="0" w:firstRowFirstColumn="0" w:firstRowLastColumn="0" w:lastRowFirstColumn="0" w:lastRowLastColumn="0"/>
            </w:pPr>
            <w:r>
              <w:t>2,633</w:t>
            </w:r>
          </w:p>
        </w:tc>
        <w:tc>
          <w:tcPr>
            <w:tcW w:w="1170" w:type="dxa"/>
          </w:tcPr>
          <w:p w14:paraId="4AEA56D4" w14:textId="77777777" w:rsidR="00E31A5A" w:rsidRDefault="00000000">
            <w:pPr>
              <w:cnfStyle w:val="000000100000" w:firstRow="0" w:lastRow="0" w:firstColumn="0" w:lastColumn="0" w:oddVBand="0" w:evenVBand="0" w:oddHBand="1" w:evenHBand="0" w:firstRowFirstColumn="0" w:firstRowLastColumn="0" w:lastRowFirstColumn="0" w:lastRowLastColumn="0"/>
            </w:pPr>
            <w:r>
              <w:t>✗</w:t>
            </w:r>
          </w:p>
        </w:tc>
      </w:tr>
      <w:tr w:rsidR="00E31A5A" w14:paraId="3DF57546" w14:textId="77777777" w:rsidTr="00E31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73010C9" w14:textId="77777777" w:rsidR="00E31A5A" w:rsidRDefault="00000000">
            <w:r>
              <w:t>Extended</w:t>
            </w:r>
          </w:p>
        </w:tc>
        <w:tc>
          <w:tcPr>
            <w:tcW w:w="1170" w:type="dxa"/>
          </w:tcPr>
          <w:p w14:paraId="2A00AD23" w14:textId="77777777" w:rsidR="00E31A5A" w:rsidRDefault="00000000">
            <w:pPr>
              <w:cnfStyle w:val="000000010000" w:firstRow="0" w:lastRow="0" w:firstColumn="0" w:lastColumn="0" w:oddVBand="0" w:evenVBand="0" w:oddHBand="0" w:evenHBand="1" w:firstRowFirstColumn="0" w:firstRowLastColumn="0" w:lastRowFirstColumn="0" w:lastRowLastColumn="0"/>
            </w:pPr>
            <w:r>
              <w:t>Nov 24-Apr 25</w:t>
            </w:r>
          </w:p>
        </w:tc>
        <w:tc>
          <w:tcPr>
            <w:tcW w:w="1170" w:type="dxa"/>
          </w:tcPr>
          <w:p w14:paraId="76FEE171" w14:textId="77777777" w:rsidR="00E31A5A" w:rsidRDefault="00000000">
            <w:pPr>
              <w:cnfStyle w:val="000000010000" w:firstRow="0" w:lastRow="0" w:firstColumn="0" w:lastColumn="0" w:oddVBand="0" w:evenVBand="0" w:oddHBand="0" w:evenHBand="1" w:firstRowFirstColumn="0" w:firstRowLastColumn="0" w:lastRowFirstColumn="0" w:lastRowLastColumn="0"/>
            </w:pPr>
            <w:r>
              <w:t>2</w:t>
            </w:r>
          </w:p>
        </w:tc>
        <w:tc>
          <w:tcPr>
            <w:tcW w:w="1170" w:type="dxa"/>
          </w:tcPr>
          <w:p w14:paraId="2B1BA210" w14:textId="77777777" w:rsidR="00E31A5A" w:rsidRDefault="00000000">
            <w:pPr>
              <w:cnfStyle w:val="000000010000" w:firstRow="0" w:lastRow="0" w:firstColumn="0" w:lastColumn="0" w:oddVBand="0" w:evenVBand="0" w:oddHBand="0" w:evenHBand="1" w:firstRowFirstColumn="0" w:firstRowLastColumn="0" w:lastRowFirstColumn="0" w:lastRowLastColumn="0"/>
            </w:pPr>
            <w:r>
              <w:t>+5.98%</w:t>
            </w:r>
          </w:p>
        </w:tc>
        <w:tc>
          <w:tcPr>
            <w:tcW w:w="1170" w:type="dxa"/>
          </w:tcPr>
          <w:p w14:paraId="5E251CF2" w14:textId="77777777" w:rsidR="00E31A5A" w:rsidRDefault="00000000">
            <w:pPr>
              <w:cnfStyle w:val="000000010000" w:firstRow="0" w:lastRow="0" w:firstColumn="0" w:lastColumn="0" w:oddVBand="0" w:evenVBand="0" w:oddHBand="0" w:evenHBand="1" w:firstRowFirstColumn="0" w:firstRowLastColumn="0" w:lastRowFirstColumn="0" w:lastRowLastColumn="0"/>
            </w:pPr>
            <w:r>
              <w:t>0.060</w:t>
            </w:r>
          </w:p>
        </w:tc>
        <w:tc>
          <w:tcPr>
            <w:tcW w:w="1170" w:type="dxa"/>
          </w:tcPr>
          <w:p w14:paraId="50D467A6" w14:textId="77777777" w:rsidR="00E31A5A" w:rsidRDefault="00000000">
            <w:pPr>
              <w:cnfStyle w:val="000000010000" w:firstRow="0" w:lastRow="0" w:firstColumn="0" w:lastColumn="0" w:oddVBand="0" w:evenVBand="0" w:oddHBand="0" w:evenHBand="1" w:firstRowFirstColumn="0" w:firstRowLastColumn="0" w:lastRowFirstColumn="0" w:lastRowLastColumn="0"/>
            </w:pPr>
            <w:r>
              <w:t>310</w:t>
            </w:r>
          </w:p>
        </w:tc>
        <w:tc>
          <w:tcPr>
            <w:tcW w:w="1170" w:type="dxa"/>
          </w:tcPr>
          <w:p w14:paraId="7F992F2E" w14:textId="77777777" w:rsidR="00E31A5A" w:rsidRDefault="00000000">
            <w:pPr>
              <w:cnfStyle w:val="000000010000" w:firstRow="0" w:lastRow="0" w:firstColumn="0" w:lastColumn="0" w:oddVBand="0" w:evenVBand="0" w:oddHBand="0" w:evenHBand="1" w:firstRowFirstColumn="0" w:firstRowLastColumn="0" w:lastRowFirstColumn="0" w:lastRowLastColumn="0"/>
            </w:pPr>
            <w:r>
              <w:t>2,166</w:t>
            </w:r>
          </w:p>
        </w:tc>
        <w:tc>
          <w:tcPr>
            <w:tcW w:w="1170" w:type="dxa"/>
          </w:tcPr>
          <w:p w14:paraId="32B3FCC9" w14:textId="77777777" w:rsidR="00E31A5A" w:rsidRDefault="00000000">
            <w:pPr>
              <w:cnfStyle w:val="000000010000" w:firstRow="0" w:lastRow="0" w:firstColumn="0" w:lastColumn="0" w:oddVBand="0" w:evenVBand="0" w:oddHBand="0" w:evenHBand="1" w:firstRowFirstColumn="0" w:firstRowLastColumn="0" w:lastRowFirstColumn="0" w:lastRowLastColumn="0"/>
            </w:pPr>
            <w:r>
              <w:t>○</w:t>
            </w:r>
          </w:p>
        </w:tc>
      </w:tr>
      <w:tr w:rsidR="00E31A5A" w14:paraId="70618894" w14:textId="77777777" w:rsidTr="00E31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CA0D87F" w14:textId="77777777" w:rsidR="00E31A5A" w:rsidRDefault="00000000">
            <w:r>
              <w:t>Original</w:t>
            </w:r>
          </w:p>
        </w:tc>
        <w:tc>
          <w:tcPr>
            <w:tcW w:w="1170" w:type="dxa"/>
          </w:tcPr>
          <w:p w14:paraId="119E405A" w14:textId="77777777" w:rsidR="00E31A5A" w:rsidRDefault="00000000">
            <w:pPr>
              <w:cnfStyle w:val="000000100000" w:firstRow="0" w:lastRow="0" w:firstColumn="0" w:lastColumn="0" w:oddVBand="0" w:evenVBand="0" w:oddHBand="1" w:evenHBand="0" w:firstRowFirstColumn="0" w:firstRowLastColumn="0" w:lastRowFirstColumn="0" w:lastRowLastColumn="0"/>
            </w:pPr>
            <w:r>
              <w:t>Dec 24-Apr 25</w:t>
            </w:r>
          </w:p>
        </w:tc>
        <w:tc>
          <w:tcPr>
            <w:tcW w:w="1170" w:type="dxa"/>
          </w:tcPr>
          <w:p w14:paraId="7F1789B8" w14:textId="77777777" w:rsidR="00E31A5A" w:rsidRDefault="00000000">
            <w:pPr>
              <w:cnfStyle w:val="000000100000" w:firstRow="0" w:lastRow="0" w:firstColumn="0" w:lastColumn="0" w:oddVBand="0" w:evenVBand="0" w:oddHBand="1" w:evenHBand="0" w:firstRowFirstColumn="0" w:firstRowLastColumn="0" w:lastRowFirstColumn="0" w:lastRowLastColumn="0"/>
            </w:pPr>
            <w:r>
              <w:t>1</w:t>
            </w:r>
          </w:p>
        </w:tc>
        <w:tc>
          <w:tcPr>
            <w:tcW w:w="1170" w:type="dxa"/>
          </w:tcPr>
          <w:p w14:paraId="450B4D8E" w14:textId="77777777" w:rsidR="00E31A5A" w:rsidRDefault="00000000">
            <w:pPr>
              <w:cnfStyle w:val="000000100000" w:firstRow="0" w:lastRow="0" w:firstColumn="0" w:lastColumn="0" w:oddVBand="0" w:evenVBand="0" w:oddHBand="1" w:evenHBand="0" w:firstRowFirstColumn="0" w:firstRowLastColumn="0" w:lastRowFirstColumn="0" w:lastRowLastColumn="0"/>
            </w:pPr>
            <w:r>
              <w:t>+6.17%</w:t>
            </w:r>
          </w:p>
        </w:tc>
        <w:tc>
          <w:tcPr>
            <w:tcW w:w="1170" w:type="dxa"/>
          </w:tcPr>
          <w:p w14:paraId="5DAB2836" w14:textId="77777777" w:rsidR="00E31A5A" w:rsidRDefault="00000000">
            <w:pPr>
              <w:cnfStyle w:val="000000100000" w:firstRow="0" w:lastRow="0" w:firstColumn="0" w:lastColumn="0" w:oddVBand="0" w:evenVBand="0" w:oddHBand="1" w:evenHBand="0" w:firstRowFirstColumn="0" w:firstRowLastColumn="0" w:lastRowFirstColumn="0" w:lastRowLastColumn="0"/>
            </w:pPr>
            <w:r>
              <w:t>0.044</w:t>
            </w:r>
          </w:p>
        </w:tc>
        <w:tc>
          <w:tcPr>
            <w:tcW w:w="1170" w:type="dxa"/>
          </w:tcPr>
          <w:p w14:paraId="0A32817A" w14:textId="77777777" w:rsidR="00E31A5A" w:rsidRDefault="00000000">
            <w:pPr>
              <w:cnfStyle w:val="000000100000" w:firstRow="0" w:lastRow="0" w:firstColumn="0" w:lastColumn="0" w:oddVBand="0" w:evenVBand="0" w:oddHBand="1" w:evenHBand="0" w:firstRowFirstColumn="0" w:firstRowLastColumn="0" w:lastRowFirstColumn="0" w:lastRowLastColumn="0"/>
            </w:pPr>
            <w:r>
              <w:t>319</w:t>
            </w:r>
          </w:p>
        </w:tc>
        <w:tc>
          <w:tcPr>
            <w:tcW w:w="1170" w:type="dxa"/>
          </w:tcPr>
          <w:p w14:paraId="4E9DE156" w14:textId="77777777" w:rsidR="00E31A5A" w:rsidRDefault="00000000">
            <w:pPr>
              <w:cnfStyle w:val="000000100000" w:firstRow="0" w:lastRow="0" w:firstColumn="0" w:lastColumn="0" w:oddVBand="0" w:evenVBand="0" w:oddHBand="1" w:evenHBand="0" w:firstRowFirstColumn="0" w:firstRowLastColumn="0" w:lastRowFirstColumn="0" w:lastRowLastColumn="0"/>
            </w:pPr>
            <w:r>
              <w:t>1,850</w:t>
            </w:r>
          </w:p>
        </w:tc>
        <w:tc>
          <w:tcPr>
            <w:tcW w:w="1170" w:type="dxa"/>
          </w:tcPr>
          <w:p w14:paraId="19DA8D0A" w14:textId="77777777" w:rsidR="00E31A5A" w:rsidRDefault="00000000">
            <w:pPr>
              <w:cnfStyle w:val="000000100000" w:firstRow="0" w:lastRow="0" w:firstColumn="0" w:lastColumn="0" w:oddVBand="0" w:evenVBand="0" w:oddHBand="1" w:evenHBand="0" w:firstRowFirstColumn="0" w:firstRowLastColumn="0" w:lastRowFirstColumn="0" w:lastRowLastColumn="0"/>
            </w:pPr>
            <w:r>
              <w:t>✓</w:t>
            </w:r>
          </w:p>
        </w:tc>
      </w:tr>
    </w:tbl>
    <w:p w14:paraId="68C18EB3" w14:textId="77777777" w:rsidR="00E31A5A" w:rsidRDefault="00000000">
      <w:r>
        <w:rPr>
          <w:b/>
        </w:rPr>
        <w:t xml:space="preserve">Pattern: </w:t>
      </w:r>
      <w:r>
        <w:t>Effect size decreases and statistical significance weakens as the time window extends and data requirements become stricter: +6.17% (significant) → +5.98% (marginal) → +2.87% (not significant).</w:t>
      </w:r>
    </w:p>
    <w:p w14:paraId="648C4975" w14:textId="77777777" w:rsidR="00E31A5A" w:rsidRDefault="00000000">
      <w:pPr>
        <w:pStyle w:val="berschrift3"/>
      </w:pPr>
      <w:r>
        <w:t>3B.5 Methodological Discussion - Design Trade-offs</w:t>
      </w:r>
    </w:p>
    <w:p w14:paraId="74EB04F0" w14:textId="77777777" w:rsidR="00E31A5A" w:rsidRDefault="00000000">
      <w:r>
        <w:rPr>
          <w:b/>
        </w:rPr>
        <w:t>Advantages of Symmetric Design:</w:t>
      </w:r>
    </w:p>
    <w:p w14:paraId="7729598E" w14:textId="77777777" w:rsidR="00E31A5A" w:rsidRDefault="00000000">
      <w:pPr>
        <w:pStyle w:val="Aufzhlungszeichen"/>
      </w:pPr>
      <w:r>
        <w:t>Strongest parallel trends testing: 3 pre-treatment periods enable robust validation</w:t>
      </w:r>
    </w:p>
    <w:p w14:paraId="085D8BDC" w14:textId="77777777" w:rsidR="00E31A5A" w:rsidRDefault="00000000">
      <w:pPr>
        <w:pStyle w:val="Aufzhlungszeichen"/>
      </w:pPr>
      <w:r>
        <w:t>Balanced measurement: All cohorts observed for identical time spans (t-3 to t+3)</w:t>
      </w:r>
    </w:p>
    <w:p w14:paraId="07CB205C" w14:textId="77777777" w:rsidR="00E31A5A" w:rsidRDefault="00000000">
      <w:pPr>
        <w:pStyle w:val="Aufzhlungszeichen"/>
      </w:pPr>
      <w:r>
        <w:t>Clean interpretation: Symmetric event study facilitates visual inspection</w:t>
      </w:r>
    </w:p>
    <w:p w14:paraId="16A52E0F" w14:textId="77777777" w:rsidR="00E31A5A" w:rsidRDefault="00000000">
      <w:pPr>
        <w:pStyle w:val="Aufzhlungszeichen"/>
      </w:pPr>
      <w:r>
        <w:t>Eliminates survival bias: All cohorts have same follow-up length</w:t>
      </w:r>
    </w:p>
    <w:p w14:paraId="59E4B79C" w14:textId="77777777" w:rsidR="00E31A5A" w:rsidRDefault="00000000">
      <w:r>
        <w:rPr>
          <w:b/>
        </w:rPr>
        <w:t>Disadvantages in Practice:</w:t>
      </w:r>
    </w:p>
    <w:p w14:paraId="3664C46C" w14:textId="77777777" w:rsidR="00E31A5A" w:rsidRDefault="00000000">
      <w:pPr>
        <w:pStyle w:val="Aufzhlungszeichen"/>
      </w:pPr>
      <w:r>
        <w:t>Severe control group attrition: 60% of control games lack complete 10-month data</w:t>
      </w:r>
    </w:p>
    <w:p w14:paraId="52D03A86" w14:textId="77777777" w:rsidR="00E31A5A" w:rsidRDefault="00000000">
      <w:pPr>
        <w:pStyle w:val="Aufzhlungszeichen"/>
      </w:pPr>
      <w:r>
        <w:t>Selection bias: Remaining sample systematically different (larger, more stable games)</w:t>
      </w:r>
    </w:p>
    <w:p w14:paraId="196217F9" w14:textId="77777777" w:rsidR="00E31A5A" w:rsidRDefault="00000000">
      <w:pPr>
        <w:pStyle w:val="Aufzhlungszeichen"/>
      </w:pPr>
      <w:r>
        <w:t>Potential parallel trends violations: March cohort shows pre-treatment effect (t=-2)</w:t>
      </w:r>
    </w:p>
    <w:p w14:paraId="633E7782" w14:textId="77777777" w:rsidR="00E31A5A" w:rsidRDefault="00000000">
      <w:pPr>
        <w:pStyle w:val="Aufzhlungszeichen"/>
      </w:pPr>
      <w:r>
        <w:t>Weaker statistical power: Smaller effective sample despite more observations</w:t>
      </w:r>
    </w:p>
    <w:p w14:paraId="6E7B9E13" w14:textId="77777777" w:rsidR="00E31A5A" w:rsidRDefault="00000000">
      <w:r>
        <w:rPr>
          <w:b/>
        </w:rPr>
        <w:t>Why the Symmetric Analysis Finds No Effect:</w:t>
      </w:r>
    </w:p>
    <w:p w14:paraId="176C35AB" w14:textId="77777777" w:rsidR="00E31A5A" w:rsidRDefault="00000000">
      <w:r>
        <w:lastRenderedPageBreak/>
        <w:t>1. Selection Bias from Attrition: Control group suffers 60% attrition (100→40 games) due to requiring complete 10-month data. Remaining games are likely larger, more stable titles with consistent player bases that may be less responsive to patches.</w:t>
      </w:r>
    </w:p>
    <w:p w14:paraId="2D5390DA" w14:textId="77777777" w:rsidR="00E31A5A" w:rsidRDefault="00000000">
      <w:r>
        <w:t>2. Time Period Effects: The symmetric design includes May-July 2025 data not in extended analysis. Treatment effects may fade over longer horizons, or seasonal patterns in summer months could dilute estimates.</w:t>
      </w:r>
    </w:p>
    <w:p w14:paraId="79E8C9B8" w14:textId="77777777" w:rsidR="00E31A5A" w:rsidRDefault="00000000">
      <w:r>
        <w:t>3. True Heterogeneous Effects: Games requiring complete 7-month windows may have different baseline characteristics. The original +6% effect could be driven by volatile games that drop out of the symmetric sample.</w:t>
      </w:r>
    </w:p>
    <w:p w14:paraId="728F7F78" w14:textId="77777777" w:rsidR="00E31A5A" w:rsidRDefault="00000000">
      <w:r>
        <w:rPr>
          <w:b/>
        </w:rPr>
        <w:t xml:space="preserve">Parallel Trends Concern: </w:t>
      </w:r>
      <w:r>
        <w:t>The March cohort shows a marginally significant positive coefficient at t=-2 (β=0.0934, p=0.079), a pre-treatment period. This suggests treatment and control may not follow parallel trends for this cohort, or there is measurement error in Oct-Dec 2024 data, weakening causal interpretation.</w:t>
      </w:r>
    </w:p>
    <w:p w14:paraId="061A0087" w14:textId="77777777" w:rsidR="00E31A5A" w:rsidRDefault="00000000">
      <w:pPr>
        <w:pStyle w:val="berschrift3"/>
      </w:pPr>
      <w:r>
        <w:t>3B.6 Conclusion and Recommendation</w:t>
      </w:r>
    </w:p>
    <w:p w14:paraId="2E92FE1B" w14:textId="77777777" w:rsidR="00E31A5A" w:rsidRDefault="00000000">
      <w:r>
        <w:t>The symmetric staggered DiD analysis implements the methodologically ideal design with balanced event windows (t-3 to t+3) and 3 pre-treatment periods. However, it faces severe practical limitations: a +2.87% effect that is not statistically significant (p=0.339), 60% control group attrition, likely sample selection bias, and potential parallel trends violations for the March cohort.</w:t>
      </w:r>
    </w:p>
    <w:p w14:paraId="582B1B16" w14:textId="77777777" w:rsidR="00E31A5A" w:rsidRDefault="00000000">
      <w:r>
        <w:rPr>
          <w:b/>
        </w:rPr>
        <w:t xml:space="preserve">Recommendation: </w:t>
      </w:r>
      <w:r>
        <w:t>While theoretically superior, the severe control group attrition (60%) and resulting selection bias make the symmetric design unsuitable as the primary specification. The extended 6-month analysis (Nov-Apr) remains the preferred specification because it balances methodological rigor (2 pre-periods) with sample retention (~25% attrition), provides a more representative sample, shows effects stable with the original analysis (+5.98% vs +6.17%), and demonstrates robustness without severe selection concerns.</w:t>
      </w:r>
    </w:p>
    <w:p w14:paraId="08BB0D90" w14:textId="77777777" w:rsidR="00E31A5A" w:rsidRDefault="00000000">
      <w:r>
        <w:t>For publication: Use extended analysis (Section 3A) as primary specification, original analysis (Section 3) for robustness, and discuss symmetric analysis limitations in appendix. The symmetric analysis serves as a valuable robustness check demonstrating that: (1) effect weakens when requiring very stable games with complete long-term data, (2) results are sensitive to sample composition, and (3) selection into available data panel matters substantially.</w:t>
      </w:r>
    </w:p>
    <w:p w14:paraId="0B03F660" w14:textId="77777777" w:rsidR="00E31A5A" w:rsidRDefault="00000000">
      <w:pPr>
        <w:pStyle w:val="berschrift3"/>
      </w:pPr>
      <w:r>
        <w:t>3B.7 Visualizations</w:t>
      </w:r>
    </w:p>
    <w:p w14:paraId="320F8908" w14:textId="77777777" w:rsidR="00E31A5A" w:rsidRDefault="00000000">
      <w:pPr>
        <w:pStyle w:val="IntensivesZitat"/>
      </w:pPr>
      <w:r>
        <w:t>Figure 3B.1: Symmetric Event Study by Cohort</w:t>
      </w:r>
    </w:p>
    <w:p w14:paraId="1908CEAD" w14:textId="77777777" w:rsidR="00E31A5A" w:rsidRDefault="00000000">
      <w:pPr>
        <w:jc w:val="center"/>
      </w:pPr>
      <w:r>
        <w:rPr>
          <w:noProof/>
        </w:rPr>
        <w:lastRenderedPageBreak/>
        <w:drawing>
          <wp:inline distT="0" distB="0" distL="0" distR="0" wp14:anchorId="2D015587" wp14:editId="273ADF68">
            <wp:extent cx="5486400" cy="40906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ic_event_study_by_cohort.png"/>
                    <pic:cNvPicPr/>
                  </pic:nvPicPr>
                  <pic:blipFill>
                    <a:blip r:embed="rId18"/>
                    <a:stretch>
                      <a:fillRect/>
                    </a:stretch>
                  </pic:blipFill>
                  <pic:spPr>
                    <a:xfrm>
                      <a:off x="0" y="0"/>
                      <a:ext cx="5486400" cy="4090656"/>
                    </a:xfrm>
                    <a:prstGeom prst="rect">
                      <a:avLst/>
                    </a:prstGeom>
                  </pic:spPr>
                </pic:pic>
              </a:graphicData>
            </a:graphic>
          </wp:inline>
        </w:drawing>
      </w:r>
    </w:p>
    <w:p w14:paraId="01ED835D" w14:textId="77777777" w:rsidR="00E31A5A" w:rsidRDefault="00000000">
      <w:pPr>
        <w:pStyle w:val="Beschriftung"/>
      </w:pPr>
      <w:r>
        <w:t>Note: Four separate panels showing event study coefficients for each treatment cohort. Each cohort has symmetric window from t-3 to t+3 with t=-1 as reference period. 95% confidence intervals shown. Weak and mostly non-significant effects across cohorts.</w:t>
      </w:r>
    </w:p>
    <w:p w14:paraId="0FD54953" w14:textId="77777777" w:rsidR="00E31A5A" w:rsidRDefault="00000000">
      <w:pPr>
        <w:pStyle w:val="IntensivesZitat"/>
      </w:pPr>
      <w:r>
        <w:t>Figure 3B.2: Symmetric Event Study Combined</w:t>
      </w:r>
    </w:p>
    <w:p w14:paraId="046AB406" w14:textId="77777777" w:rsidR="00E31A5A" w:rsidRDefault="00000000">
      <w:pPr>
        <w:jc w:val="center"/>
      </w:pPr>
      <w:r>
        <w:rPr>
          <w:noProof/>
        </w:rPr>
        <w:lastRenderedPageBreak/>
        <w:drawing>
          <wp:inline distT="0" distB="0" distL="0" distR="0" wp14:anchorId="18995793" wp14:editId="4DC15E1F">
            <wp:extent cx="5486400" cy="31125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ic_event_study_combined.png"/>
                    <pic:cNvPicPr/>
                  </pic:nvPicPr>
                  <pic:blipFill>
                    <a:blip r:embed="rId19"/>
                    <a:stretch>
                      <a:fillRect/>
                    </a:stretch>
                  </pic:blipFill>
                  <pic:spPr>
                    <a:xfrm>
                      <a:off x="0" y="0"/>
                      <a:ext cx="5486400" cy="3112515"/>
                    </a:xfrm>
                    <a:prstGeom prst="rect">
                      <a:avLst/>
                    </a:prstGeom>
                  </pic:spPr>
                </pic:pic>
              </a:graphicData>
            </a:graphic>
          </wp:inline>
        </w:drawing>
      </w:r>
    </w:p>
    <w:p w14:paraId="0C88FD82" w14:textId="77777777" w:rsidR="00E31A5A" w:rsidRDefault="00000000">
      <w:pPr>
        <w:pStyle w:val="Beschriftung"/>
      </w:pPr>
      <w:r>
        <w:t>Note: All four cohorts overlaid on single plot with 95% confidence intervals. Enables cross-cohort comparison. Highlights heterogeneity across treatment timing and overall weak treatment effects in symmetric design.</w:t>
      </w:r>
    </w:p>
    <w:p w14:paraId="7E7227F5" w14:textId="77777777" w:rsidR="00E31A5A" w:rsidRDefault="00000000">
      <w:r>
        <w:br w:type="page"/>
      </w:r>
    </w:p>
    <w:sectPr w:rsidR="00E31A5A" w:rsidSect="000E784F">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re Aslan" w:date="2025-12-09T02:51:00Z" w:initials="EA">
    <w:p w14:paraId="6EB4E509" w14:textId="77777777" w:rsidR="000E784F" w:rsidRDefault="000E784F" w:rsidP="000E784F">
      <w:pPr>
        <w:pStyle w:val="Kommentartext"/>
        <w:jc w:val="left"/>
      </w:pPr>
      <w:r>
        <w:rPr>
          <w:rStyle w:val="Kommentarzeichen"/>
        </w:rPr>
        <w:annotationRef/>
      </w:r>
      <w:r>
        <w:t>Evtl. oben in der research question erwähnen, kommt hier so random oder am Anfang des absatzes.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B4E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AD386" w16cex:dateUtc="2025-12-09T0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B4E509" w16cid:durableId="423AD3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17E39B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D4A69C68"/>
    <w:lvl w:ilvl="0">
      <w:start w:val="1"/>
      <w:numFmt w:val="bullet"/>
      <w:pStyle w:val="Aufzhlungszeichen"/>
      <w:lvlText w:val=""/>
      <w:lvlJc w:val="left"/>
      <w:pPr>
        <w:tabs>
          <w:tab w:val="num" w:pos="360"/>
        </w:tabs>
        <w:ind w:left="360" w:hanging="360"/>
      </w:pPr>
      <w:rPr>
        <w:rFonts w:ascii="Symbol" w:hAnsi="Symbol" w:hint="default"/>
      </w:rPr>
    </w:lvl>
  </w:abstractNum>
  <w:num w:numId="1" w16cid:durableId="1711613827">
    <w:abstractNumId w:val="8"/>
  </w:num>
  <w:num w:numId="2" w16cid:durableId="1244022596">
    <w:abstractNumId w:val="6"/>
  </w:num>
  <w:num w:numId="3" w16cid:durableId="507214509">
    <w:abstractNumId w:val="5"/>
  </w:num>
  <w:num w:numId="4" w16cid:durableId="1932228172">
    <w:abstractNumId w:val="4"/>
  </w:num>
  <w:num w:numId="5" w16cid:durableId="1310792599">
    <w:abstractNumId w:val="7"/>
  </w:num>
  <w:num w:numId="6" w16cid:durableId="637539425">
    <w:abstractNumId w:val="3"/>
  </w:num>
  <w:num w:numId="7" w16cid:durableId="1976716132">
    <w:abstractNumId w:val="2"/>
  </w:num>
  <w:num w:numId="8" w16cid:durableId="833839206">
    <w:abstractNumId w:val="1"/>
  </w:num>
  <w:num w:numId="9" w16cid:durableId="13205004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re Aslan">
    <w15:presenceInfo w15:providerId="AD" w15:userId="S::edbsmnjn2ghe7srn@students.rwth-aachen.de::e34a9c00-5d59-41db-a7ed-e99d10d39a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71"/>
    <w:rsid w:val="00034616"/>
    <w:rsid w:val="0006063C"/>
    <w:rsid w:val="000E784F"/>
    <w:rsid w:val="00112C5C"/>
    <w:rsid w:val="0015074B"/>
    <w:rsid w:val="00201356"/>
    <w:rsid w:val="0029639D"/>
    <w:rsid w:val="00326F90"/>
    <w:rsid w:val="006D1D7F"/>
    <w:rsid w:val="00AA1D8D"/>
    <w:rsid w:val="00B47730"/>
    <w:rsid w:val="00CB0664"/>
    <w:rsid w:val="00E31A5A"/>
    <w:rsid w:val="00F21A35"/>
    <w:rsid w:val="00F76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09A31"/>
  <w14:defaultImageDpi w14:val="300"/>
  <w15:docId w15:val="{31E94669-98B0-4B8A-8DEE-03E85C4B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link w:val="KeinLeerraumZchn"/>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0E784F"/>
    <w:pPr>
      <w:spacing w:after="100"/>
    </w:pPr>
  </w:style>
  <w:style w:type="paragraph" w:styleId="Verzeichnis2">
    <w:name w:val="toc 2"/>
    <w:basedOn w:val="Standard"/>
    <w:next w:val="Standard"/>
    <w:autoRedefine/>
    <w:uiPriority w:val="39"/>
    <w:unhideWhenUsed/>
    <w:rsid w:val="000E784F"/>
    <w:pPr>
      <w:spacing w:after="100"/>
      <w:ind w:left="220"/>
    </w:pPr>
  </w:style>
  <w:style w:type="paragraph" w:styleId="Verzeichnis3">
    <w:name w:val="toc 3"/>
    <w:basedOn w:val="Standard"/>
    <w:next w:val="Standard"/>
    <w:autoRedefine/>
    <w:uiPriority w:val="39"/>
    <w:unhideWhenUsed/>
    <w:rsid w:val="000E784F"/>
    <w:pPr>
      <w:spacing w:after="100"/>
      <w:ind w:left="440"/>
    </w:pPr>
  </w:style>
  <w:style w:type="character" w:styleId="Hyperlink">
    <w:name w:val="Hyperlink"/>
    <w:basedOn w:val="Absatz-Standardschriftart"/>
    <w:uiPriority w:val="99"/>
    <w:unhideWhenUsed/>
    <w:rsid w:val="000E784F"/>
    <w:rPr>
      <w:color w:val="0000FF" w:themeColor="hyperlink"/>
      <w:u w:val="single"/>
    </w:rPr>
  </w:style>
  <w:style w:type="character" w:customStyle="1" w:styleId="KeinLeerraumZchn">
    <w:name w:val="Kein Leerraum Zchn"/>
    <w:basedOn w:val="Absatz-Standardschriftart"/>
    <w:link w:val="KeinLeerraum"/>
    <w:uiPriority w:val="1"/>
    <w:rsid w:val="000E784F"/>
  </w:style>
  <w:style w:type="paragraph" w:customStyle="1" w:styleId="Default">
    <w:name w:val="Default"/>
    <w:rsid w:val="000E784F"/>
    <w:pPr>
      <w:autoSpaceDE w:val="0"/>
      <w:autoSpaceDN w:val="0"/>
      <w:adjustRightInd w:val="0"/>
      <w:spacing w:after="0" w:line="240" w:lineRule="auto"/>
    </w:pPr>
    <w:rPr>
      <w:rFonts w:ascii="Arial" w:eastAsiaTheme="minorHAnsi" w:hAnsi="Arial" w:cs="Arial"/>
      <w:color w:val="000000"/>
      <w:sz w:val="24"/>
      <w:szCs w:val="24"/>
      <w:lang w:val="de-DE"/>
    </w:rPr>
  </w:style>
  <w:style w:type="character" w:styleId="Kommentarzeichen">
    <w:name w:val="annotation reference"/>
    <w:basedOn w:val="Absatz-Standardschriftart"/>
    <w:uiPriority w:val="99"/>
    <w:semiHidden/>
    <w:unhideWhenUsed/>
    <w:rsid w:val="000E784F"/>
    <w:rPr>
      <w:sz w:val="16"/>
      <w:szCs w:val="16"/>
    </w:rPr>
  </w:style>
  <w:style w:type="paragraph" w:styleId="Kommentartext">
    <w:name w:val="annotation text"/>
    <w:basedOn w:val="Standard"/>
    <w:link w:val="KommentartextZchn"/>
    <w:uiPriority w:val="99"/>
    <w:unhideWhenUsed/>
    <w:rsid w:val="000E784F"/>
    <w:pPr>
      <w:spacing w:line="240" w:lineRule="auto"/>
      <w:jc w:val="both"/>
    </w:pPr>
    <w:rPr>
      <w:rFonts w:asciiTheme="majorHAnsi" w:eastAsiaTheme="minorHAnsi" w:hAnsiTheme="majorHAnsi"/>
      <w:sz w:val="20"/>
      <w:szCs w:val="20"/>
      <w:lang w:val="en-GB"/>
    </w:rPr>
  </w:style>
  <w:style w:type="character" w:customStyle="1" w:styleId="KommentartextZchn">
    <w:name w:val="Kommentartext Zchn"/>
    <w:basedOn w:val="Absatz-Standardschriftart"/>
    <w:link w:val="Kommentartext"/>
    <w:uiPriority w:val="99"/>
    <w:rsid w:val="000E784F"/>
    <w:rPr>
      <w:rFonts w:asciiTheme="majorHAnsi" w:eastAsiaTheme="minorHAnsi" w:hAnsiTheme="majorHAnsi"/>
      <w:sz w:val="20"/>
      <w:szCs w:val="20"/>
      <w:lang w:val="en-GB"/>
    </w:rPr>
  </w:style>
  <w:style w:type="paragraph" w:styleId="Literaturverzeichnis">
    <w:name w:val="Bibliography"/>
    <w:basedOn w:val="Standard"/>
    <w:next w:val="Standard"/>
    <w:uiPriority w:val="37"/>
    <w:semiHidden/>
    <w:unhideWhenUsed/>
    <w:rsid w:val="00005E71"/>
    <w:pPr>
      <w:spacing w:line="300" w:lineRule="auto"/>
      <w:jc w:val="both"/>
    </w:pPr>
    <w:rPr>
      <w:rFonts w:asciiTheme="majorHAnsi" w:eastAsiaTheme="minorHAnsi" w:hAnsiTheme="majorHAnsi"/>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6/09/relationships/commentsIds" Target="commentsIds.xml"/><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9780</Words>
  <Characters>59370</Characters>
  <Application>Microsoft Office Word</Application>
  <DocSecurity>0</DocSecurity>
  <Lines>1562</Lines>
  <Paragraphs>1063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Erik Breuer</cp:lastModifiedBy>
  <cp:revision>4</cp:revision>
  <dcterms:created xsi:type="dcterms:W3CDTF">2013-12-23T23:15:00Z</dcterms:created>
  <dcterms:modified xsi:type="dcterms:W3CDTF">2026-02-10T17:48:00Z</dcterms:modified>
  <cp:category/>
</cp:coreProperties>
</file>