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A8" w:rsidRDefault="006957FA" w:rsidP="006957FA">
      <w:pPr>
        <w:pStyle w:val="Title"/>
      </w:pPr>
      <w:r>
        <w:t>Stroop Effect Significance Test</w:t>
      </w:r>
    </w:p>
    <w:p w:rsidR="006957FA" w:rsidRDefault="006957FA" w:rsidP="006957FA"/>
    <w:p w:rsidR="006957FA" w:rsidRDefault="006957FA" w:rsidP="006957FA">
      <w:pPr>
        <w:pStyle w:val="Heading1"/>
      </w:pPr>
      <w:r>
        <w:t>Background</w:t>
      </w:r>
    </w:p>
    <w:p w:rsidR="006957FA" w:rsidRPr="006957FA" w:rsidRDefault="006957FA" w:rsidP="006957FA">
      <w:r>
        <w:t xml:space="preserve">The Stroop Effect is the concept that when psychological interference is encountered, our response times slow.  The version of the Stroop Effect test that will be analyzed is the classic color-match/no-color match version.  Participants are shown words </w:t>
      </w:r>
      <w:r>
        <w:rPr>
          <w:i/>
        </w:rPr>
        <w:t>of</w:t>
      </w:r>
      <w:r>
        <w:t xml:space="preserve"> colors, each printed in a particular ink.  Sometimes the ink of a word will match the color the word represents.  Other times not.  </w:t>
      </w:r>
      <w:r w:rsidR="007928B9">
        <w:t xml:space="preserve"> </w:t>
      </w:r>
    </w:p>
    <w:p w:rsidR="006957FA" w:rsidRDefault="006957FA" w:rsidP="006957FA"/>
    <w:p w:rsidR="006957FA" w:rsidRDefault="006957FA" w:rsidP="006957FA">
      <w:pPr>
        <w:pStyle w:val="Heading1"/>
      </w:pPr>
      <w:r>
        <w:t>Variables</w:t>
      </w:r>
    </w:p>
    <w:p w:rsidR="006957FA" w:rsidRDefault="006957FA" w:rsidP="006957FA">
      <w:r>
        <w:t xml:space="preserve">There are two variables worth considering for the purpose of statistical analysis.  The independent variable is the </w:t>
      </w:r>
      <w:r w:rsidR="00630AF7">
        <w:t>congruency of the ink and the word.  The dependent variable is the time it takes to complete the test.</w:t>
      </w:r>
    </w:p>
    <w:p w:rsidR="00630AF7" w:rsidRDefault="00630AF7" w:rsidP="006957FA"/>
    <w:p w:rsidR="00630AF7" w:rsidRDefault="00FB40DB" w:rsidP="00630AF7">
      <w:pPr>
        <w:pStyle w:val="Heading1"/>
      </w:pPr>
      <w:r>
        <w:t>Data Observations</w:t>
      </w:r>
    </w:p>
    <w:p w:rsidR="00630AF7" w:rsidRDefault="00630AF7" w:rsidP="00630AF7">
      <w:pPr>
        <w:pStyle w:val="Heading2"/>
      </w:pPr>
      <w:r>
        <w:t xml:space="preserve">Congruent </w:t>
      </w:r>
      <w:r w:rsidR="00FB40DB">
        <w:t>Times</w:t>
      </w:r>
    </w:p>
    <w:p w:rsidR="00FB40DB" w:rsidRDefault="00FB40DB" w:rsidP="00FB40DB">
      <w:r>
        <w:t xml:space="preserve">Plotting the congruent times on a histogram, we find a normally distributed set of data centered around ~15 seconds.  </w:t>
      </w:r>
    </w:p>
    <w:p w:rsidR="00FB40DB" w:rsidRDefault="00FB40DB" w:rsidP="00FB40DB">
      <w:pPr>
        <w:jc w:val="center"/>
      </w:pPr>
      <w:r>
        <w:rPr>
          <w:noProof/>
        </w:rPr>
        <w:drawing>
          <wp:inline distT="0" distB="0" distL="0" distR="0" wp14:anchorId="16538F80" wp14:editId="44B77429">
            <wp:extent cx="4693920" cy="26060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C694E" w:rsidRDefault="002C694E" w:rsidP="00FB40DB"/>
    <w:p w:rsidR="00FB40DB" w:rsidRPr="00FB40DB" w:rsidRDefault="00566D9B" w:rsidP="00FB40DB">
      <w:r>
        <w:t xml:space="preserve">To determine if we have any outliers, we can calculate the inter-quartile range (IQR).  The median value occurs at </w:t>
      </w:r>
      <w:r w:rsidR="00E42190">
        <w:t xml:space="preserve">14.4 when we put the times in order.  Thus, our first quartile lies at t = 11.5, and our third quartile lies at t = 16.6.  Finding the difference of </w:t>
      </w:r>
      <w:r w:rsidR="00313F85">
        <w:t>these, our IQR is 5.1 seconds.  Subtracting 1.5 times the IQR from the 1</w:t>
      </w:r>
      <w:r w:rsidR="00313F85" w:rsidRPr="00313F85">
        <w:rPr>
          <w:vertAlign w:val="superscript"/>
        </w:rPr>
        <w:t>st</w:t>
      </w:r>
      <w:r w:rsidR="00313F85">
        <w:t xml:space="preserve"> quartile, and adding 1.5 times the IQR to the upper quartile, we can see if there are </w:t>
      </w:r>
      <w:r w:rsidR="00313F85">
        <w:lastRenderedPageBreak/>
        <w:t>any outliers; our lower fence lies at 3.9s and our upper fence lies at 24.2s.  With no observations less than the lower fence, or grea</w:t>
      </w:r>
      <w:r w:rsidR="007928B9">
        <w:t>ter than the upper fence, we observe</w:t>
      </w:r>
      <w:r w:rsidR="00313F85">
        <w:t xml:space="preserve"> there are no outliers.</w:t>
      </w:r>
    </w:p>
    <w:p w:rsidR="00630AF7" w:rsidRDefault="00FB40DB" w:rsidP="00FB40DB">
      <w:pPr>
        <w:pStyle w:val="Heading2"/>
      </w:pPr>
      <w:r>
        <w:t>Incongruent Times</w:t>
      </w:r>
    </w:p>
    <w:p w:rsidR="00FB40DB" w:rsidRDefault="00FB40DB" w:rsidP="00FB40DB">
      <w:r>
        <w:t xml:space="preserve">Interestingly, we find incongruent times show a positively (or right) skewed </w:t>
      </w:r>
      <w:r w:rsidR="007928B9">
        <w:t>distribution centered around ~24</w:t>
      </w:r>
      <w:r>
        <w:t xml:space="preserve"> seconds.</w:t>
      </w:r>
    </w:p>
    <w:p w:rsidR="00FB40DB" w:rsidRDefault="00FB40DB" w:rsidP="00FB40DB">
      <w:pPr>
        <w:jc w:val="center"/>
      </w:pPr>
      <w:r>
        <w:rPr>
          <w:noProof/>
        </w:rPr>
        <w:drawing>
          <wp:inline distT="0" distB="0" distL="0" distR="0" wp14:anchorId="010DE1F4" wp14:editId="0E613196">
            <wp:extent cx="4747260" cy="259080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3F85" w:rsidRDefault="00313F85" w:rsidP="00313F85">
      <w:r>
        <w:t xml:space="preserve">Applying the same procedure as before to test for outliers, we find our incongruent IQR is 5.7 seconds, not much different from the first test.  </w:t>
      </w:r>
      <w:r>
        <w:tab/>
        <w:t xml:space="preserve">Our lower fence lies at 10.1 seconds and our upper fence lies at 32.9 seconds.  We see there are two values that qualify as outliers, </w:t>
      </w:r>
      <w:r w:rsidR="006C1556">
        <w:t>the observations at 34.3 and 35.3 seconds.</w:t>
      </w:r>
    </w:p>
    <w:p w:rsidR="007F73D3" w:rsidRDefault="007F73D3" w:rsidP="00313F85"/>
    <w:p w:rsidR="007F73D3" w:rsidRDefault="00613380" w:rsidP="002C6BF4">
      <w:pPr>
        <w:pStyle w:val="Heading1"/>
      </w:pPr>
      <w:r>
        <w:t>Calculation</w:t>
      </w:r>
    </w:p>
    <w:p w:rsidR="00613380" w:rsidRDefault="00613380" w:rsidP="00613380">
      <w:pPr>
        <w:pStyle w:val="Heading2"/>
      </w:pPr>
      <w:r>
        <w:t>Choosing a Test</w:t>
      </w:r>
    </w:p>
    <w:p w:rsidR="00613380" w:rsidRDefault="00613380" w:rsidP="00613380">
      <w:r>
        <w:t>Since we are given samples of the data</w:t>
      </w:r>
      <w:r w:rsidR="00A940B6">
        <w:t xml:space="preserve"> (each sample being less than 30)</w:t>
      </w:r>
      <w:r>
        <w:t>, and population parameters are not available, we will use a Student’s T</w:t>
      </w:r>
      <w:r w:rsidR="007928B9">
        <w:t>-test.  We will use this test to compare the means of the two tests to see if they are significantly different</w:t>
      </w:r>
      <w:r w:rsidR="00A940B6">
        <w:t xml:space="preserve"> (a two sample T-test)</w:t>
      </w:r>
      <w:r w:rsidR="007928B9">
        <w:t>.</w:t>
      </w:r>
      <w:r w:rsidR="00A940B6">
        <w:t xml:space="preserve">  Note this test assumes the distributions of the test times of each are normal.</w:t>
      </w:r>
    </w:p>
    <w:p w:rsidR="00613380" w:rsidRDefault="00613380" w:rsidP="00613380">
      <w:pPr>
        <w:pStyle w:val="Heading2"/>
      </w:pPr>
      <w:r>
        <w:t>Hypotheses</w:t>
      </w:r>
    </w:p>
    <w:p w:rsidR="00613380" w:rsidRDefault="00613380" w:rsidP="00613380">
      <w:r>
        <w:t>Null Hypothesis (H</w:t>
      </w:r>
      <w:r>
        <w:rPr>
          <w:vertAlign w:val="subscript"/>
        </w:rPr>
        <w:t>0</w:t>
      </w:r>
      <w:r>
        <w:t>): There is no difference between the time it takes to complete the test with congruent ink and colors, and the test with incongruent ink and colors:</w:t>
      </w:r>
    </w:p>
    <w:p w:rsidR="00B4755A" w:rsidRPr="00B4755A" w:rsidRDefault="00437765" w:rsidP="00613380">
      <w:pPr>
        <w:rPr>
          <w:rFonts w:eastAsiaTheme="minorEastAsia"/>
        </w:rPr>
      </w:pPr>
      <m:oMathPara>
        <m:oMath>
          <m:sSub>
            <m:sSubPr>
              <m:ctrlPr>
                <w:rPr>
                  <w:rFonts w:ascii="Cambria Math" w:hAnsi="Cambria Math"/>
                  <w:i/>
                </w:rPr>
              </m:ctrlPr>
            </m:sSubPr>
            <m:e>
              <m:r>
                <w:rPr>
                  <w:rFonts w:ascii="Cambria Math" w:hAnsi="Cambria Math"/>
                </w:rPr>
                <m:t>Where µ</m:t>
              </m:r>
            </m:e>
            <m:sub>
              <m:r>
                <w:rPr>
                  <w:rFonts w:ascii="Cambria Math" w:hAnsi="Cambria Math"/>
                </w:rPr>
                <m:t>C</m:t>
              </m:r>
            </m:sub>
          </m:sSub>
          <m:r>
            <w:rPr>
              <w:rFonts w:ascii="Cambria Math" w:hAnsi="Cambria Math"/>
            </w:rPr>
            <m:t xml:space="preserve"> is the mean of the test time with congruent ink and color names, </m:t>
          </m:r>
        </m:oMath>
      </m:oMathPara>
    </w:p>
    <w:p w:rsidR="00B4755A" w:rsidRDefault="00B4755A" w:rsidP="00613380">
      <m:oMathPara>
        <m:oMath>
          <m:r>
            <w:rPr>
              <w:rFonts w:ascii="Cambria Math" w:hAnsi="Cambria Math"/>
            </w:rPr>
            <m:t xml:space="preserve">and </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is the mean of the test time with incongruent ink and color names </m:t>
          </m:r>
        </m:oMath>
      </m:oMathPara>
    </w:p>
    <w:p w:rsidR="00613380" w:rsidRPr="00613380" w:rsidRDefault="00437765" w:rsidP="00613380">
      <w:pPr>
        <w:rPr>
          <w:vertAlign w:val="subscript"/>
        </w:rPr>
      </w:pPr>
      <m:oMathPara>
        <m:oMath>
          <m:sSub>
            <m:sSubPr>
              <m:ctrlPr>
                <w:rPr>
                  <w:rFonts w:ascii="Cambria Math" w:hAnsi="Cambria Math"/>
                  <w:i/>
                </w:rPr>
              </m:ctrlPr>
            </m:sSubPr>
            <m:e>
              <m:r>
                <w:rPr>
                  <w:rFonts w:ascii="Cambria Math" w:hAnsi="Cambria Math"/>
                </w:rPr>
                <m:t>µ</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I</m:t>
              </m:r>
            </m:sub>
          </m:sSub>
        </m:oMath>
      </m:oMathPara>
    </w:p>
    <w:p w:rsidR="00613380" w:rsidRDefault="00613380" w:rsidP="00613380">
      <w:r>
        <w:lastRenderedPageBreak/>
        <w:t>Alternative Hypothesis (H</w:t>
      </w:r>
      <w:r>
        <w:rPr>
          <w:vertAlign w:val="subscript"/>
        </w:rPr>
        <w:t>A</w:t>
      </w:r>
      <w:r>
        <w:t>): There is</w:t>
      </w:r>
      <w:r w:rsidR="007928B9">
        <w:t xml:space="preserve"> a</w:t>
      </w:r>
      <w:r>
        <w:t xml:space="preserve"> difference between the time it takes to complete the test with congruent ink and colors, and the test with incongruent ink and colors:</w:t>
      </w:r>
    </w:p>
    <w:p w:rsidR="00613380" w:rsidRDefault="00437765" w:rsidP="00613380">
      <m:oMathPara>
        <m:oMath>
          <m:sSub>
            <m:sSubPr>
              <m:ctrlPr>
                <w:rPr>
                  <w:rFonts w:ascii="Cambria Math" w:hAnsi="Cambria Math"/>
                  <w:i/>
                </w:rPr>
              </m:ctrlPr>
            </m:sSubPr>
            <m:e>
              <m:r>
                <w:rPr>
                  <w:rFonts w:ascii="Cambria Math" w:hAnsi="Cambria Math"/>
                </w:rPr>
                <m:t>µ</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µ</m:t>
              </m:r>
            </m:e>
            <m:sub>
              <m:r>
                <w:rPr>
                  <w:rFonts w:ascii="Cambria Math" w:hAnsi="Cambria Math"/>
                </w:rPr>
                <m:t>I</m:t>
              </m:r>
            </m:sub>
          </m:sSub>
        </m:oMath>
      </m:oMathPara>
    </w:p>
    <w:p w:rsidR="00613380" w:rsidRDefault="001E4821" w:rsidP="00613380">
      <w:pPr>
        <w:pStyle w:val="Heading2"/>
      </w:pPr>
      <w:r>
        <w:t>Confidence Interval</w:t>
      </w:r>
    </w:p>
    <w:p w:rsidR="001E4821" w:rsidRDefault="001E4821" w:rsidP="001E4821">
      <w:r>
        <w:t>To create a confidence interval, we will first select a significance level, α.  A common significance level is α = 0.05, which will be useful for our purposes.</w:t>
      </w:r>
      <w:r w:rsidR="00827B0B">
        <w:t xml:space="preserve">  Another could be chosen, but this is a good place to start.</w:t>
      </w:r>
    </w:p>
    <w:p w:rsidR="00827B0B" w:rsidRDefault="00827B0B" w:rsidP="00827B0B">
      <w:r>
        <w:t xml:space="preserve">From this critical level, we must determine the t-critical values.  Both of our samples have </w:t>
      </w:r>
      <w:r w:rsidR="00BE37EA">
        <w:t>24 observations, so we have 24 – 1 = 23</w:t>
      </w:r>
      <w:r>
        <w:t xml:space="preserve"> degrees of freedom.</w:t>
      </w:r>
    </w:p>
    <w:p w:rsidR="00BE6BA5" w:rsidRDefault="00827B0B" w:rsidP="001E4821">
      <w:r>
        <w:t>Consulting a t-table, the closest available degrees of freedom is 50, thus at the 5% a</w:t>
      </w:r>
      <w:r w:rsidR="007B0C43">
        <w:t>lpha level we find a t-critical value</w:t>
      </w:r>
      <w:r w:rsidR="00437765">
        <w:t xml:space="preserve"> of 2.06</w:t>
      </w:r>
      <w:r>
        <w:t xml:space="preserve">9.  </w:t>
      </w:r>
    </w:p>
    <w:p w:rsidR="00950331" w:rsidRDefault="00950331" w:rsidP="001E4821">
      <w:r>
        <w:t xml:space="preserve">Calculating the standard </w:t>
      </w:r>
      <w:r w:rsidR="00827B0B">
        <w:t>deviations</w:t>
      </w:r>
      <w:r>
        <w:t xml:space="preserve"> of the congruent and incongruent tests (using </w:t>
      </w:r>
      <w:r w:rsidR="00827B0B">
        <w:t>Bessel’s</w:t>
      </w:r>
      <w:r>
        <w:t xml:space="preserve"> correction, because we are taking from samples), they are 3.559 and 4.797, respectively.</w:t>
      </w:r>
    </w:p>
    <w:p w:rsidR="00950331" w:rsidRDefault="00950331" w:rsidP="001E4821">
      <w:r>
        <w:t>With this information, we can calculate the standard error:</w:t>
      </w:r>
    </w:p>
    <w:p w:rsidR="00950331" w:rsidRPr="00755C37" w:rsidRDefault="00950331" w:rsidP="001E4821">
      <w:pPr>
        <w:rPr>
          <w:rFonts w:eastAsiaTheme="minorEastAsia"/>
        </w:rPr>
      </w:pPr>
      <m:oMathPara>
        <m:oMath>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3.559</m:t>
                      </m:r>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4.797</m:t>
                      </m:r>
                    </m:e>
                    <m:sup>
                      <m:r>
                        <w:rPr>
                          <w:rFonts w:ascii="Cambria Math" w:hAnsi="Cambria Math"/>
                        </w:rPr>
                        <m:t>2</m:t>
                      </m:r>
                    </m:sup>
                  </m:sSup>
                </m:num>
                <m:den>
                  <m:r>
                    <w:rPr>
                      <w:rFonts w:ascii="Cambria Math" w:hAnsi="Cambria Math"/>
                    </w:rPr>
                    <m:t>24</m:t>
                  </m:r>
                </m:den>
              </m:f>
            </m:e>
          </m:rad>
        </m:oMath>
      </m:oMathPara>
    </w:p>
    <w:p w:rsidR="00755C37" w:rsidRPr="00755C37" w:rsidRDefault="00755C37" w:rsidP="001E4821">
      <w:pPr>
        <w:rPr>
          <w:rFonts w:eastAsiaTheme="minorEastAsia"/>
        </w:rPr>
      </w:pPr>
      <m:oMathPara>
        <m:oMath>
          <m:r>
            <w:rPr>
              <w:rFonts w:ascii="Cambria Math" w:eastAsiaTheme="minorEastAsia" w:hAnsi="Cambria Math"/>
            </w:rPr>
            <m:t xml:space="preserve">SE≈ </m:t>
          </m:r>
          <m:r>
            <m:rPr>
              <m:sty m:val="p"/>
            </m:rPr>
            <w:rPr>
              <w:rFonts w:ascii="Cambria Math" w:eastAsiaTheme="minorEastAsia" w:hAnsi="Cambria Math"/>
            </w:rPr>
            <m:t>1.219</m:t>
          </m:r>
        </m:oMath>
      </m:oMathPara>
    </w:p>
    <w:p w:rsidR="00755C37" w:rsidRDefault="00755C37" w:rsidP="001E4821"/>
    <w:p w:rsidR="00755C37" w:rsidRPr="00B10C0C" w:rsidRDefault="00437765" w:rsidP="001E4821">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=22.016-14.051=7.965</m:t>
          </m:r>
        </m:oMath>
      </m:oMathPara>
    </w:p>
    <w:p w:rsidR="00B10C0C" w:rsidRPr="00827B0B" w:rsidRDefault="00827B0B" w:rsidP="001E4821">
      <w:pPr>
        <w:rPr>
          <w:rFonts w:eastAsiaTheme="minorEastAsia"/>
        </w:rPr>
      </w:pPr>
      <m:oMathPara>
        <m:oMath>
          <m:r>
            <w:rPr>
              <w:rFonts w:ascii="Cambria Math" w:eastAsiaTheme="minorEastAsia"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num>
            <m:den>
              <m:r>
                <w:rPr>
                  <w:rFonts w:ascii="Cambria Math" w:eastAsiaTheme="minorEastAsia" w:hAnsi="Cambria Math"/>
                </w:rPr>
                <m:t>SE</m:t>
              </m:r>
            </m:den>
          </m:f>
          <m:r>
            <w:rPr>
              <w:rFonts w:ascii="Cambria Math" w:hAnsi="Cambria Math"/>
            </w:rPr>
            <m:t xml:space="preserve"> = </m:t>
          </m:r>
          <m:f>
            <m:fPr>
              <m:ctrlPr>
                <w:rPr>
                  <w:rFonts w:ascii="Cambria Math" w:hAnsi="Cambria Math"/>
                  <w:i/>
                </w:rPr>
              </m:ctrlPr>
            </m:fPr>
            <m:num>
              <m:r>
                <w:rPr>
                  <w:rFonts w:ascii="Cambria Math" w:hAnsi="Cambria Math"/>
                </w:rPr>
                <m:t>7.965</m:t>
              </m:r>
            </m:num>
            <m:den>
              <m:r>
                <w:rPr>
                  <w:rFonts w:ascii="Cambria Math" w:hAnsi="Cambria Math"/>
                </w:rPr>
                <m:t>0.993</m:t>
              </m:r>
            </m:den>
          </m:f>
          <m:r>
            <w:rPr>
              <w:rFonts w:ascii="Cambria Math" w:hAnsi="Cambria Math"/>
            </w:rPr>
            <m:t xml:space="preserve"> = </m:t>
          </m:r>
          <m:r>
            <w:rPr>
              <w:rFonts w:ascii="Cambria Math" w:eastAsiaTheme="minorEastAsia" w:hAnsi="Cambria Math"/>
            </w:rPr>
            <m:t>8.021</m:t>
          </m:r>
        </m:oMath>
      </m:oMathPara>
    </w:p>
    <w:p w:rsidR="00827B0B" w:rsidRDefault="00827B0B" w:rsidP="001E4821">
      <w:pPr>
        <w:rPr>
          <w:rFonts w:eastAsiaTheme="minorEastAsia"/>
        </w:rPr>
      </w:pPr>
    </w:p>
    <w:p w:rsidR="00B10C0C" w:rsidRDefault="00B10C0C" w:rsidP="001E4821"/>
    <w:p w:rsidR="00B10C0C" w:rsidRDefault="000F2FD5" w:rsidP="000F2FD5">
      <w:pPr>
        <w:pStyle w:val="Heading1"/>
      </w:pPr>
      <w:r>
        <w:t>Interpretation</w:t>
      </w:r>
    </w:p>
    <w:p w:rsidR="000F2FD5" w:rsidRDefault="00A171F8" w:rsidP="000F2FD5">
      <w:r>
        <w:rPr>
          <w:rFonts w:eastAsiaTheme="minorEastAsia"/>
        </w:rPr>
        <w:t xml:space="preserve">Because our calculated t value is greater than our t-critical value, our p value is </w:t>
      </w:r>
      <w:r>
        <w:rPr>
          <w:rFonts w:eastAsiaTheme="minorEastAsia"/>
          <w:i/>
        </w:rPr>
        <w:t>less</w:t>
      </w:r>
      <w:r>
        <w:rPr>
          <w:rFonts w:eastAsiaTheme="minorEastAsia"/>
        </w:rPr>
        <w:t xml:space="preserve"> than the critical p-value and we can reject the null hypothesis; </w:t>
      </w:r>
      <w:r w:rsidR="00827B0B">
        <w:t xml:space="preserve">we believe the mean time on the incongruent test </w:t>
      </w:r>
      <w:bookmarkStart w:id="0" w:name="_GoBack"/>
      <w:bookmarkEnd w:id="0"/>
      <w:r w:rsidR="00827B0B">
        <w:t>is not the same as the time on the congruent test at the α = 0.05 level.</w:t>
      </w:r>
      <w:r w:rsidR="00E92346">
        <w:t xml:space="preserve">  In fact, consulting ou</w:t>
      </w:r>
      <w:r w:rsidR="00106476">
        <w:t>r t table, we can see that this result is significant even at the α = 0.0005 level.  Our result is compelling.</w:t>
      </w:r>
    </w:p>
    <w:p w:rsidR="000F2FD5" w:rsidRDefault="000F2FD5" w:rsidP="000F2FD5">
      <w:pPr>
        <w:pStyle w:val="Heading2"/>
      </w:pPr>
      <w:r>
        <w:t>Further Study</w:t>
      </w:r>
    </w:p>
    <w:p w:rsidR="000F2FD5" w:rsidRPr="000F2FD5" w:rsidRDefault="000F2FD5" w:rsidP="000F2FD5">
      <w:r>
        <w:t>Our statistical test has definitively shown there is a difference between the two tests.  But it has not shown the cause of the difference.  Further research is necessary to show why it takes longer to complete the incongruent test than the congruent test.</w:t>
      </w:r>
    </w:p>
    <w:p w:rsidR="00613380" w:rsidRPr="00613380" w:rsidRDefault="00613380" w:rsidP="00613380"/>
    <w:sectPr w:rsidR="00613380" w:rsidRPr="0061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FA"/>
    <w:rsid w:val="000B2EF2"/>
    <w:rsid w:val="000C5971"/>
    <w:rsid w:val="000F2FD5"/>
    <w:rsid w:val="00106476"/>
    <w:rsid w:val="001E4821"/>
    <w:rsid w:val="002C694E"/>
    <w:rsid w:val="002C6BF4"/>
    <w:rsid w:val="00313F85"/>
    <w:rsid w:val="00341A55"/>
    <w:rsid w:val="00390968"/>
    <w:rsid w:val="00431BD1"/>
    <w:rsid w:val="00437765"/>
    <w:rsid w:val="004F1C57"/>
    <w:rsid w:val="00566D9B"/>
    <w:rsid w:val="005771A8"/>
    <w:rsid w:val="005F7ECF"/>
    <w:rsid w:val="00613380"/>
    <w:rsid w:val="00630AF7"/>
    <w:rsid w:val="006957FA"/>
    <w:rsid w:val="006C1556"/>
    <w:rsid w:val="00755C37"/>
    <w:rsid w:val="007928B9"/>
    <w:rsid w:val="007A54E4"/>
    <w:rsid w:val="007B0C43"/>
    <w:rsid w:val="007F73D3"/>
    <w:rsid w:val="00827B0B"/>
    <w:rsid w:val="00950331"/>
    <w:rsid w:val="0099242F"/>
    <w:rsid w:val="00A171F8"/>
    <w:rsid w:val="00A940B6"/>
    <w:rsid w:val="00B05B82"/>
    <w:rsid w:val="00B10C0C"/>
    <w:rsid w:val="00B4755A"/>
    <w:rsid w:val="00BE37EA"/>
    <w:rsid w:val="00BE6BA5"/>
    <w:rsid w:val="00E42190"/>
    <w:rsid w:val="00E92346"/>
    <w:rsid w:val="00FB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A607"/>
  <w15:chartTrackingRefBased/>
  <w15:docId w15:val="{02F42715-D27F-4221-8285-DF7C9260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A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57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0AF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5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Congruent</a:t>
            </a:r>
            <a:r>
              <a:rPr lang="en-US" baseline="0"/>
              <a:t> Times</a:t>
            </a:r>
            <a:endParaRPr lang="en-US"/>
          </a:p>
        </c:rich>
      </c:tx>
      <c:overlay val="0"/>
    </c:title>
    <c:autoTitleDeleted val="0"/>
    <c:plotArea>
      <c:layout/>
      <c:barChart>
        <c:barDir val="col"/>
        <c:grouping val="clustered"/>
        <c:varyColors val="0"/>
        <c:ser>
          <c:idx val="0"/>
          <c:order val="0"/>
          <c:tx>
            <c:v>Frequency</c:v>
          </c:tx>
          <c:invertIfNegative val="0"/>
          <c:cat>
            <c:strRef>
              <c:f>Sheet1!$G$3:$G$12</c:f>
              <c:strCache>
                <c:ptCount val="10"/>
                <c:pt idx="0">
                  <c:v>3</c:v>
                </c:pt>
                <c:pt idx="1">
                  <c:v>6</c:v>
                </c:pt>
                <c:pt idx="2">
                  <c:v>9</c:v>
                </c:pt>
                <c:pt idx="3">
                  <c:v>12</c:v>
                </c:pt>
                <c:pt idx="4">
                  <c:v>15</c:v>
                </c:pt>
                <c:pt idx="5">
                  <c:v>18</c:v>
                </c:pt>
                <c:pt idx="6">
                  <c:v>21</c:v>
                </c:pt>
                <c:pt idx="7">
                  <c:v>24</c:v>
                </c:pt>
                <c:pt idx="8">
                  <c:v>27</c:v>
                </c:pt>
                <c:pt idx="9">
                  <c:v>More</c:v>
                </c:pt>
              </c:strCache>
            </c:strRef>
          </c:cat>
          <c:val>
            <c:numRef>
              <c:f>Sheet1!$H$3:$H$12</c:f>
              <c:numCache>
                <c:formatCode>General</c:formatCode>
                <c:ptCount val="10"/>
                <c:pt idx="0">
                  <c:v>0</c:v>
                </c:pt>
                <c:pt idx="1">
                  <c:v>0</c:v>
                </c:pt>
                <c:pt idx="2">
                  <c:v>2</c:v>
                </c:pt>
                <c:pt idx="3">
                  <c:v>4</c:v>
                </c:pt>
                <c:pt idx="4">
                  <c:v>9</c:v>
                </c:pt>
                <c:pt idx="5">
                  <c:v>5</c:v>
                </c:pt>
                <c:pt idx="6">
                  <c:v>3</c:v>
                </c:pt>
                <c:pt idx="7">
                  <c:v>1</c:v>
                </c:pt>
                <c:pt idx="8">
                  <c:v>0</c:v>
                </c:pt>
                <c:pt idx="9">
                  <c:v>0</c:v>
                </c:pt>
              </c:numCache>
            </c:numRef>
          </c:val>
          <c:extLst>
            <c:ext xmlns:c16="http://schemas.microsoft.com/office/drawing/2014/chart" uri="{C3380CC4-5D6E-409C-BE32-E72D297353CC}">
              <c16:uniqueId val="{00000000-A2D2-4E5E-95AA-E22D6FF7151B}"/>
            </c:ext>
          </c:extLst>
        </c:ser>
        <c:dLbls>
          <c:showLegendKey val="0"/>
          <c:showVal val="0"/>
          <c:showCatName val="0"/>
          <c:showSerName val="0"/>
          <c:showPercent val="0"/>
          <c:showBubbleSize val="0"/>
        </c:dLbls>
        <c:gapWidth val="150"/>
        <c:axId val="470972016"/>
        <c:axId val="466043200"/>
      </c:barChart>
      <c:catAx>
        <c:axId val="470972016"/>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466043200"/>
        <c:crosses val="autoZero"/>
        <c:auto val="1"/>
        <c:lblAlgn val="ctr"/>
        <c:lblOffset val="100"/>
        <c:noMultiLvlLbl val="0"/>
      </c:catAx>
      <c:valAx>
        <c:axId val="46604320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709720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Incongruent</a:t>
            </a:r>
            <a:r>
              <a:rPr lang="en-US" baseline="0"/>
              <a:t> Times</a:t>
            </a:r>
            <a:endParaRPr lang="en-US"/>
          </a:p>
        </c:rich>
      </c:tx>
      <c:overlay val="0"/>
    </c:title>
    <c:autoTitleDeleted val="0"/>
    <c:plotArea>
      <c:layout/>
      <c:barChart>
        <c:barDir val="col"/>
        <c:grouping val="clustered"/>
        <c:varyColors val="0"/>
        <c:ser>
          <c:idx val="0"/>
          <c:order val="0"/>
          <c:tx>
            <c:v>Frequency</c:v>
          </c:tx>
          <c:invertIfNegative val="0"/>
          <c:cat>
            <c:strRef>
              <c:f>Sheet1!$G$20:$G$29</c:f>
              <c:strCache>
                <c:ptCount val="10"/>
                <c:pt idx="0">
                  <c:v>12</c:v>
                </c:pt>
                <c:pt idx="1">
                  <c:v>15</c:v>
                </c:pt>
                <c:pt idx="2">
                  <c:v>18</c:v>
                </c:pt>
                <c:pt idx="3">
                  <c:v>21</c:v>
                </c:pt>
                <c:pt idx="4">
                  <c:v>24</c:v>
                </c:pt>
                <c:pt idx="5">
                  <c:v>27</c:v>
                </c:pt>
                <c:pt idx="6">
                  <c:v>30</c:v>
                </c:pt>
                <c:pt idx="7">
                  <c:v>33</c:v>
                </c:pt>
                <c:pt idx="8">
                  <c:v>36</c:v>
                </c:pt>
                <c:pt idx="9">
                  <c:v>More</c:v>
                </c:pt>
              </c:strCache>
            </c:strRef>
          </c:cat>
          <c:val>
            <c:numRef>
              <c:f>Sheet1!$H$20:$H$29</c:f>
              <c:numCache>
                <c:formatCode>General</c:formatCode>
                <c:ptCount val="10"/>
                <c:pt idx="0">
                  <c:v>0</c:v>
                </c:pt>
                <c:pt idx="1">
                  <c:v>0</c:v>
                </c:pt>
                <c:pt idx="2">
                  <c:v>5</c:v>
                </c:pt>
                <c:pt idx="3">
                  <c:v>7</c:v>
                </c:pt>
                <c:pt idx="4">
                  <c:v>6</c:v>
                </c:pt>
                <c:pt idx="5">
                  <c:v>4</c:v>
                </c:pt>
                <c:pt idx="6">
                  <c:v>0</c:v>
                </c:pt>
                <c:pt idx="7">
                  <c:v>0</c:v>
                </c:pt>
                <c:pt idx="8">
                  <c:v>2</c:v>
                </c:pt>
                <c:pt idx="9">
                  <c:v>0</c:v>
                </c:pt>
              </c:numCache>
            </c:numRef>
          </c:val>
          <c:extLst>
            <c:ext xmlns:c16="http://schemas.microsoft.com/office/drawing/2014/chart" uri="{C3380CC4-5D6E-409C-BE32-E72D297353CC}">
              <c16:uniqueId val="{00000000-76E1-4079-AFD6-CB07CF04D205}"/>
            </c:ext>
          </c:extLst>
        </c:ser>
        <c:dLbls>
          <c:showLegendKey val="0"/>
          <c:showVal val="0"/>
          <c:showCatName val="0"/>
          <c:showSerName val="0"/>
          <c:showPercent val="0"/>
          <c:showBubbleSize val="0"/>
        </c:dLbls>
        <c:gapWidth val="150"/>
        <c:axId val="421157056"/>
        <c:axId val="421152064"/>
      </c:barChart>
      <c:catAx>
        <c:axId val="421157056"/>
        <c:scaling>
          <c:orientation val="minMax"/>
        </c:scaling>
        <c:delete val="0"/>
        <c:axPos val="b"/>
        <c:title>
          <c:tx>
            <c:rich>
              <a:bodyPr/>
              <a:lstStyle/>
              <a:p>
                <a:pPr>
                  <a:defRPr/>
                </a:pPr>
                <a:r>
                  <a:rPr lang="en-US"/>
                  <a:t>Time</a:t>
                </a:r>
                <a:r>
                  <a:rPr lang="en-US" baseline="0"/>
                  <a:t> (s)</a:t>
                </a:r>
                <a:endParaRPr lang="en-US"/>
              </a:p>
            </c:rich>
          </c:tx>
          <c:overlay val="0"/>
        </c:title>
        <c:numFmt formatCode="General" sourceLinked="1"/>
        <c:majorTickMark val="out"/>
        <c:minorTickMark val="none"/>
        <c:tickLblPos val="nextTo"/>
        <c:crossAx val="421152064"/>
        <c:crosses val="autoZero"/>
        <c:auto val="1"/>
        <c:lblAlgn val="ctr"/>
        <c:lblOffset val="100"/>
        <c:noMultiLvlLbl val="0"/>
      </c:catAx>
      <c:valAx>
        <c:axId val="42115206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21157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de Water</dc:creator>
  <cp:keywords/>
  <dc:description/>
  <cp:lastModifiedBy>Erik Van de Water</cp:lastModifiedBy>
  <cp:revision>4</cp:revision>
  <dcterms:created xsi:type="dcterms:W3CDTF">2016-11-20T07:34:00Z</dcterms:created>
  <dcterms:modified xsi:type="dcterms:W3CDTF">2016-12-20T22:46:00Z</dcterms:modified>
</cp:coreProperties>
</file>