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62FE"/>
        </w:rPr>
        <w:t>Administrator Guide — IBM Power VS Weekly Resource Report</w:t>
      </w:r>
    </w:p>
    <w:p>
      <w:r>
        <w:rPr>
          <w:b/>
        </w:rPr>
        <w:t>Audience:</w:t>
      </w:r>
      <w:r>
        <w:t xml:space="preserve"> Whoever takes over, troubleshoots, or extends this automation after the initial build.</w:t>
      </w:r>
    </w:p>
    <w:p>
      <w:r>
        <w:rPr>
          <w:b/>
        </w:rPr>
        <w:t>Last updated:</w:t>
      </w:r>
      <w:r>
        <w:t xml:space="preserve"> 27 October 2026</w:t>
      </w:r>
    </w:p>
    <w:p>
      <w:r>
        <w:rPr>
          <w:b/>
        </w:rPr>
        <w:t>Owner at time of writing:</w:t>
      </w:r>
      <w:r>
        <w:t xml:space="preserve"> Erik Weegenaar (erikweegenaar@nl.ibm.com)</w:t>
      </w:r>
    </w:p>
    <w:p/>
    <w:p>
      <w:pPr>
        <w:pStyle w:val="Heading1"/>
      </w:pPr>
      <w:r>
        <w:rPr>
          <w:color w:val="0F62FE"/>
        </w:rPr>
        <w:t>1. What this system does</w:t>
      </w:r>
    </w:p>
    <w:p>
      <w:r>
        <w:t xml:space="preserve">Every </w:t>
      </w:r>
      <w:r>
        <w:rPr>
          <w:b/>
        </w:rPr>
        <w:t>Monday at 07:00 UTC</w:t>
      </w:r>
      <w:r>
        <w:t xml:space="preserve"> (08:00 CET / 09:00 CEST local time), an automated job in IBM Cloud:</w:t>
      </w:r>
    </w:p>
    <w:p>
      <w:pPr>
        <w:pStyle w:val="ListNumber"/>
      </w:pPr>
      <w:r>
        <w:t>Reads a snapshot of IBM Power Virtual Server and OpenShift resource data (540 resources across 8 environments: BCS, IBAS, IBAS-V2, INT, INT-V2, INT2, INT2-V2, and an "Unclassified" bucket).</w:t>
      </w:r>
    </w:p>
    <w:p>
      <w:pPr>
        <w:pStyle w:val="ListNumber"/>
      </w:pPr>
      <w:r>
        <w:t>Builds two things:</w:t>
      </w:r>
    </w:p>
    <w:p>
      <w:pPr>
        <w:pStyle w:val="ListBullet"/>
      </w:pPr>
      <w:r>
        <w:t xml:space="preserve">A short </w:t>
      </w:r>
      <w:r>
        <w:rPr>
          <w:b/>
        </w:rPr>
        <w:t>plain-text/HTML summary</w:t>
      </w:r>
      <w:r>
        <w:t xml:space="preserve"> (counts per environment, warning counts) — placed directly in the email body.</w:t>
      </w:r>
    </w:p>
    <w:p>
      <w:pPr>
        <w:pStyle w:val="ListBullet"/>
      </w:pPr>
      <w:r>
        <w:t xml:space="preserve">The </w:t>
      </w:r>
      <w:r>
        <w:rPr>
          <w:b/>
        </w:rPr>
        <w:t>full interactive dashboard</w:t>
      </w:r>
      <w:r>
        <w:t xml:space="preserve"> (tabs: All Resources, Action Needed, OpenShift Clusters, Physical Hosts, How to use, About this data — with search, filters, and CSV export) — attached to the email as a single, self-contained HTML file (</w:t>
      </w:r>
      <w:r>
        <w:rPr>
          <w:rFonts w:ascii="Consolas" w:hAnsi="Consolas"/>
          <w:color w:val="B31D28"/>
          <w:sz w:val="19"/>
        </w:rPr>
        <w:t>IBM_Power_VS_dashboard.html</w:t>
      </w:r>
      <w:r>
        <w:t>, ~500 KB).</w:t>
      </w:r>
    </w:p>
    <w:p>
      <w:pPr>
        <w:pStyle w:val="ListNumber"/>
      </w:pPr>
      <w:r>
        <w:t xml:space="preserve">Sends this by email via Gmail SMTP to the configured recipient (currently </w:t>
      </w:r>
      <w:r>
        <w:rPr>
          <w:rFonts w:ascii="Consolas" w:hAnsi="Consolas"/>
          <w:color w:val="B31D28"/>
          <w:sz w:val="19"/>
        </w:rPr>
        <w:t>erikweegenaar@nl.ibm.com</w:t>
      </w:r>
      <w:r>
        <w:t>).</w:t>
      </w:r>
    </w:p>
    <w:p>
      <w:r>
        <w:t>No one needs to log into IBM Cloud for this to happen. It runs unattended, in the background.</w:t>
      </w:r>
    </w:p>
    <w:p/>
    <w:p>
      <w:pPr>
        <w:pStyle w:val="Heading1"/>
      </w:pPr>
      <w:r>
        <w:rPr>
          <w:color w:val="0F62FE"/>
        </w:rPr>
        <w:t>2. Architecture overview</w:t>
      </w:r>
    </w:p>
    <w:p>
      <w:pPr>
        <w:ind w:left="432"/>
        <w:shd w:val="clear" w:color="auto" w:fill="F4F4F4"/>
      </w:pPr>
      <w:r>
        <w:rPr>
          <w:rFonts w:ascii="Consolas" w:hAnsi="Consolas"/>
          <w:color w:val="242424"/>
          <w:sz w:val="18"/>
        </w:rPr>
        <w:t>GitHub (source code)                IBM Cloud Code Engine                  Email</w:t>
        <w:br/>
      </w:r>
      <w:r>
        <w:rPr>
          <w:rFonts w:ascii="Consolas" w:hAnsi="Consolas"/>
          <w:color w:val="242424"/>
          <w:sz w:val="18"/>
        </w:rPr>
        <w:t>┌─────────────────────┐             ┌──────────────────────────┐          ┌──────────┐</w:t>
        <w:br/>
      </w:r>
      <w:r>
        <w:rPr>
          <w:rFonts w:ascii="Consolas" w:hAnsi="Consolas"/>
          <w:color w:val="242424"/>
          <w:sz w:val="18"/>
        </w:rPr>
        <w:t>│ ErikWeegenaar/       │   build     │ Project: powervs-         │  SMTP    │ Gmail →  │</w:t>
        <w:br/>
      </w:r>
      <w:r>
        <w:rPr>
          <w:rFonts w:ascii="Consolas" w:hAnsi="Consolas"/>
          <w:color w:val="242424"/>
          <w:sz w:val="18"/>
        </w:rPr>
        <w:t>│ powervs-rapportage   │ ──────────► │ rapportage (region eu-de) │ ───────► │ IBM Mail │</w:t>
        <w:br/>
      </w:r>
      <w:r>
        <w:rPr>
          <w:rFonts w:ascii="Consolas" w:hAnsi="Consolas"/>
          <w:color w:val="242424"/>
          <w:sz w:val="18"/>
        </w:rPr>
        <w:t>│                      │             │                            │          └──────────┘</w:t>
        <w:br/>
      </w:r>
      <w:r>
        <w:rPr>
          <w:rFonts w:ascii="Consolas" w:hAnsi="Consolas"/>
          <w:color w:val="242424"/>
          <w:sz w:val="18"/>
        </w:rPr>
        <w:t>│ - send_report_       │             │ ┌────────────────────────┐│</w:t>
        <w:br/>
      </w:r>
      <w:r>
        <w:rPr>
          <w:rFonts w:ascii="Consolas" w:hAnsi="Consolas"/>
          <w:color w:val="242424"/>
          <w:sz w:val="18"/>
        </w:rPr>
        <w:t>│   email.py           │             │ │ Image build:            ││</w:t>
        <w:br/>
      </w:r>
      <w:r>
        <w:rPr>
          <w:rFonts w:ascii="Consolas" w:hAnsi="Consolas"/>
          <w:color w:val="242424"/>
          <w:sz w:val="18"/>
        </w:rPr>
        <w:t>│ - build_dashboard_   │             │ │ jobdefinition-39-build- ││</w:t>
        <w:br/>
      </w:r>
      <w:r>
        <w:rPr>
          <w:rFonts w:ascii="Consolas" w:hAnsi="Consolas"/>
          <w:color w:val="242424"/>
          <w:sz w:val="18"/>
        </w:rPr>
        <w:t>│   attachment.py      │             │ │ vn2xz                   ││</w:t>
        <w:br/>
      </w:r>
      <w:r>
        <w:rPr>
          <w:rFonts w:ascii="Consolas" w:hAnsi="Consolas"/>
          <w:color w:val="242424"/>
          <w:sz w:val="18"/>
        </w:rPr>
        <w:t>│ - shell_part1/2/3    │             │ └────────────────────────┘│</w:t>
        <w:br/>
      </w:r>
      <w:r>
        <w:rPr>
          <w:rFonts w:ascii="Consolas" w:hAnsi="Consolas"/>
          <w:color w:val="242424"/>
          <w:sz w:val="18"/>
        </w:rPr>
        <w:t>│   .html (dashboard   │             │ ┌────────────────────────┐│</w:t>
        <w:br/>
      </w:r>
      <w:r>
        <w:rPr>
          <w:rFonts w:ascii="Consolas" w:hAnsi="Consolas"/>
          <w:color w:val="242424"/>
          <w:sz w:val="18"/>
        </w:rPr>
        <w:t>│   template)          │             │ │ Job: jobdefinition-39   ││</w:t>
        <w:br/>
      </w:r>
      <w:r>
        <w:rPr>
          <w:rFonts w:ascii="Consolas" w:hAnsi="Consolas"/>
          <w:color w:val="242424"/>
          <w:sz w:val="18"/>
        </w:rPr>
        <w:t>│ - merged_resources_  │             │ │ Command: python3        ││</w:t>
        <w:br/>
      </w:r>
      <w:r>
        <w:rPr>
          <w:rFonts w:ascii="Consolas" w:hAnsi="Consolas"/>
          <w:color w:val="242424"/>
          <w:sz w:val="18"/>
        </w:rPr>
        <w:t>│   live.json          │             │ │ Arguments:               ││</w:t>
        <w:br/>
      </w:r>
      <w:r>
        <w:rPr>
          <w:rFonts w:ascii="Consolas" w:hAnsi="Consolas"/>
          <w:color w:val="242424"/>
          <w:sz w:val="18"/>
        </w:rPr>
        <w:t>│ - ocp_environments.  │             │ │  send_report_email.py   ││</w:t>
        <w:br/>
      </w:r>
      <w:r>
        <w:rPr>
          <w:rFonts w:ascii="Consolas" w:hAnsi="Consolas"/>
          <w:color w:val="242424"/>
          <w:sz w:val="18"/>
        </w:rPr>
        <w:t>│   json               │             │ └────────────────────────┘│</w:t>
        <w:br/>
      </w:r>
      <w:r>
        <w:rPr>
          <w:rFonts w:ascii="Consolas" w:hAnsi="Consolas"/>
          <w:color w:val="242424"/>
          <w:sz w:val="18"/>
        </w:rPr>
        <w:t>│ - lpar_servers.json  │             │ ┌────────────────────────┐│</w:t>
        <w:br/>
      </w:r>
      <w:r>
        <w:rPr>
          <w:rFonts w:ascii="Consolas" w:hAnsi="Consolas"/>
          <w:color w:val="242424"/>
          <w:sz w:val="18"/>
        </w:rPr>
        <w:t>│ - action_items_      │             │ │ Secret: smtp-credentials││</w:t>
        <w:br/>
      </w:r>
      <w:r>
        <w:rPr>
          <w:rFonts w:ascii="Consolas" w:hAnsi="Consolas"/>
          <w:color w:val="242424"/>
          <w:sz w:val="18"/>
        </w:rPr>
        <w:t>│   live.json           │             │ │ (SMTP server, user,     ││</w:t>
        <w:br/>
      </w:r>
      <w:r>
        <w:rPr>
          <w:rFonts w:ascii="Consolas" w:hAnsi="Consolas"/>
          <w:color w:val="242424"/>
          <w:sz w:val="18"/>
        </w:rPr>
        <w:t>│ - requirements.txt    │             │ │  password, recipient)   ││</w:t>
        <w:br/>
      </w:r>
      <w:r>
        <w:rPr>
          <w:rFonts w:ascii="Consolas" w:hAnsi="Consolas"/>
          <w:color w:val="242424"/>
          <w:sz w:val="18"/>
        </w:rPr>
        <w:t>└─────────────────────┘             │ └────────────────────────┘│</w:t>
        <w:br/>
      </w:r>
      <w:r>
        <w:rPr>
          <w:rFonts w:ascii="Consolas" w:hAnsi="Consolas"/>
          <w:color w:val="242424"/>
          <w:sz w:val="18"/>
        </w:rPr>
        <w:t xml:space="preserve">                                     │ ┌────────────────────────┐│</w:t>
        <w:br/>
      </w:r>
      <w:r>
        <w:rPr>
          <w:rFonts w:ascii="Consolas" w:hAnsi="Consolas"/>
          <w:color w:val="242424"/>
          <w:sz w:val="18"/>
        </w:rPr>
        <w:t xml:space="preserve">                                     │ │ Event subscription:     ││</w:t>
        <w:br/>
      </w:r>
      <w:r>
        <w:rPr>
          <w:rFonts w:ascii="Consolas" w:hAnsi="Consolas"/>
          <w:color w:val="242424"/>
          <w:sz w:val="18"/>
        </w:rPr>
        <w:t xml:space="preserve">                                     │ │ wekelijks-rapport-timer ││</w:t>
        <w:br/>
      </w:r>
      <w:r>
        <w:rPr>
          <w:rFonts w:ascii="Consolas" w:hAnsi="Consolas"/>
          <w:color w:val="242424"/>
          <w:sz w:val="18"/>
        </w:rPr>
        <w:t xml:space="preserve">                                     │ │ cron: 0 7 * * 1 (Mon)   ││</w:t>
        <w:br/>
      </w:r>
      <w:r>
        <w:rPr>
          <w:rFonts w:ascii="Consolas" w:hAnsi="Consolas"/>
          <w:color w:val="242424"/>
          <w:sz w:val="18"/>
        </w:rPr>
        <w:t xml:space="preserve">                                     │ └────────────────────────┘│</w:t>
        <w:br/>
      </w:r>
      <w:r>
        <w:rPr>
          <w:rFonts w:ascii="Consolas" w:hAnsi="Consolas"/>
          <w:color w:val="242424"/>
          <w:sz w:val="18"/>
        </w:rPr>
        <w:t xml:space="preserve">                                     └──────────────────────────┘</w:t>
      </w:r>
    </w:p>
    <w:p/>
    <w:p>
      <w:pPr>
        <w:pStyle w:val="Heading1"/>
      </w:pPr>
      <w:r>
        <w:rPr>
          <w:color w:val="0F62FE"/>
        </w:rPr>
        <w:t>3. Inventory of accounts, resources, and credentials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F62FE"/>
          </w:tcPr>
          <w:p>
            <w:r/>
            <w:r>
              <w:rPr>
                <w:b/>
                <w:color w:val="FFFFFF"/>
                <w:sz w:val="19"/>
              </w:rPr>
              <w:t>Item</w:t>
            </w:r>
          </w:p>
        </w:tc>
        <w:tc>
          <w:tcPr>
            <w:tcW w:type="dxa" w:w="2880"/>
            <w:shd w:val="clear" w:color="auto" w:fill="0F62FE"/>
          </w:tcPr>
          <w:p>
            <w:r/>
            <w:r>
              <w:rPr>
                <w:b/>
                <w:color w:val="FFFFFF"/>
                <w:sz w:val="19"/>
              </w:rPr>
              <w:t>Value</w:t>
            </w:r>
          </w:p>
        </w:tc>
        <w:tc>
          <w:tcPr>
            <w:tcW w:type="dxa" w:w="2880"/>
            <w:shd w:val="clear" w:color="auto" w:fill="0F62FE"/>
          </w:tcPr>
          <w:p>
            <w:r/>
            <w:r>
              <w:rPr>
                <w:b/>
                <w:color w:val="FFFFFF"/>
                <w:sz w:val="19"/>
              </w:rPr>
              <w:t>Notes</w:t>
            </w:r>
          </w:p>
        </w:tc>
      </w:tr>
      <w:tr>
        <w:tc>
          <w:tcPr>
            <w:tcW w:type="dxa" w:w="2880"/>
          </w:tcPr>
          <w:p>
            <w:r/>
            <w:r>
              <w:rPr>
                <w:sz w:val="19"/>
              </w:rPr>
              <w:t>IBM Cloud account</w:t>
            </w:r>
          </w:p>
        </w:tc>
        <w:tc>
          <w:tcPr>
            <w:tcW w:type="dxa" w:w="2880"/>
          </w:tcPr>
          <w:p>
            <w:r/>
            <w:r>
              <w:rPr>
                <w:sz w:val="19"/>
              </w:rPr>
              <w:t>GBS c/o Schiphol (27de50c300594fa7ad9af88d3ab3e5f8)</w:t>
            </w:r>
          </w:p>
        </w:tc>
        <w:tc>
          <w:tcPr>
            <w:tcW w:type="dxa" w:w="2880"/>
          </w:tcPr>
          <w:p>
            <w:r/>
            <w:r>
              <w:rPr>
                <w:sz w:val="19"/>
              </w:rPr>
            </w:r>
          </w:p>
        </w:tc>
      </w:tr>
      <w:tr>
        <w:tc>
          <w:tcPr>
            <w:tcW w:type="dxa" w:w="2880"/>
          </w:tcPr>
          <w:p>
            <w:r/>
            <w:r>
              <w:rPr>
                <w:sz w:val="19"/>
              </w:rPr>
              <w:t>IBM Cloud resource group</w:t>
            </w:r>
          </w:p>
        </w:tc>
        <w:tc>
          <w:tcPr>
            <w:tcW w:type="dxa" w:w="2880"/>
          </w:tcPr>
          <w:p>
            <w:r/>
            <w:r>
              <w:rPr>
                <w:sz w:val="19"/>
              </w:rPr>
              <w:t>Default</w:t>
            </w:r>
          </w:p>
        </w:tc>
        <w:tc>
          <w:tcPr>
            <w:tcW w:type="dxa" w:w="2880"/>
          </w:tcPr>
          <w:p>
            <w:r/>
            <w:r>
              <w:rPr>
                <w:sz w:val="19"/>
              </w:rPr>
              <w:t>Used for all resources below</w:t>
            </w:r>
          </w:p>
        </w:tc>
      </w:tr>
      <w:tr>
        <w:tc>
          <w:tcPr>
            <w:tcW w:type="dxa" w:w="2880"/>
          </w:tcPr>
          <w:p>
            <w:r/>
            <w:r>
              <w:rPr>
                <w:sz w:val="19"/>
              </w:rPr>
              <w:t>IBM Cloud region</w:t>
            </w:r>
          </w:p>
        </w:tc>
        <w:tc>
          <w:tcPr>
            <w:tcW w:type="dxa" w:w="2880"/>
          </w:tcPr>
          <w:p>
            <w:r/>
            <w:r>
              <w:rPr>
                <w:sz w:val="19"/>
              </w:rPr>
              <w:t>eu-de (Frankfurt)</w:t>
            </w:r>
          </w:p>
        </w:tc>
        <w:tc>
          <w:tcPr>
            <w:tcW w:type="dxa" w:w="2880"/>
          </w:tcPr>
          <w:p>
            <w:r/>
            <w:r>
              <w:rPr>
                <w:sz w:val="19"/>
              </w:rPr>
              <w:t>Matches the Power VS workspaces</w:t>
            </w:r>
          </w:p>
        </w:tc>
      </w:tr>
      <w:tr>
        <w:tc>
          <w:tcPr>
            <w:tcW w:type="dxa" w:w="2880"/>
          </w:tcPr>
          <w:p>
            <w:r/>
            <w:r>
              <w:rPr>
                <w:sz w:val="19"/>
              </w:rPr>
              <w:t>Code Engine project</w:t>
            </w:r>
          </w:p>
        </w:tc>
        <w:tc>
          <w:tcPr>
            <w:tcW w:type="dxa" w:w="2880"/>
          </w:tcPr>
          <w:p>
            <w:r/>
            <w:r>
              <w:rPr>
                <w:sz w:val="19"/>
              </w:rPr>
              <w:t>powervs-rapportage</w:t>
            </w:r>
          </w:p>
        </w:tc>
        <w:tc>
          <w:tcPr>
            <w:tcW w:type="dxa" w:w="2880"/>
          </w:tcPr>
          <w:p>
            <w:r/>
            <w:r>
              <w:rPr>
                <w:sz w:val="19"/>
              </w:rPr>
            </w:r>
          </w:p>
        </w:tc>
      </w:tr>
      <w:tr>
        <w:tc>
          <w:tcPr>
            <w:tcW w:type="dxa" w:w="2880"/>
          </w:tcPr>
          <w:p>
            <w:r/>
            <w:r>
              <w:rPr>
                <w:sz w:val="19"/>
              </w:rPr>
              <w:t>Code Engine build</w:t>
            </w:r>
          </w:p>
        </w:tc>
        <w:tc>
          <w:tcPr>
            <w:tcW w:type="dxa" w:w="2880"/>
          </w:tcPr>
          <w:p>
            <w:r/>
            <w:r>
              <w:rPr>
                <w:sz w:val="19"/>
              </w:rPr>
              <w:t>jobdefinition-39-build-vn2xz</w:t>
            </w:r>
          </w:p>
        </w:tc>
        <w:tc>
          <w:tcPr>
            <w:tcW w:type="dxa" w:w="2880"/>
          </w:tcPr>
          <w:p>
            <w:r/>
            <w:r>
              <w:rPr>
                <w:sz w:val="19"/>
              </w:rPr>
              <w:t>Source: Cloud Native Buildpack (Python auto-detected via requirements.txt)</w:t>
            </w:r>
          </w:p>
        </w:tc>
      </w:tr>
      <w:tr>
        <w:tc>
          <w:tcPr>
            <w:tcW w:type="dxa" w:w="2880"/>
          </w:tcPr>
          <w:p>
            <w:r/>
            <w:r>
              <w:rPr>
                <w:sz w:val="19"/>
              </w:rPr>
              <w:t>Code Engine image</w:t>
            </w:r>
          </w:p>
        </w:tc>
        <w:tc>
          <w:tcPr>
            <w:tcW w:type="dxa" w:w="2880"/>
          </w:tcPr>
          <w:p>
            <w:r/>
            <w:r>
              <w:rPr>
                <w:sz w:val="19"/>
              </w:rPr>
              <w:t>private.de.icr.io/bcs-ods/powervs-rapportage:latest</w:t>
            </w:r>
          </w:p>
        </w:tc>
        <w:tc>
          <w:tcPr>
            <w:tcW w:type="dxa" w:w="2880"/>
          </w:tcPr>
          <w:p>
            <w:r/>
            <w:r>
              <w:rPr>
                <w:sz w:val="19"/>
              </w:rPr>
              <w:t>Stored in IBM Container Registry, namespace bcs-ods (unrelated to any OpenShift namespace — just the ICR namespace that was already default for this account)</w:t>
            </w:r>
          </w:p>
        </w:tc>
      </w:tr>
      <w:tr>
        <w:tc>
          <w:tcPr>
            <w:tcW w:type="dxa" w:w="2880"/>
          </w:tcPr>
          <w:p>
            <w:r/>
            <w:r>
              <w:rPr>
                <w:sz w:val="19"/>
              </w:rPr>
              <w:t>Code Engine job</w:t>
            </w:r>
          </w:p>
        </w:tc>
        <w:tc>
          <w:tcPr>
            <w:tcW w:type="dxa" w:w="2880"/>
          </w:tcPr>
          <w:p>
            <w:r/>
            <w:r>
              <w:rPr>
                <w:sz w:val="19"/>
              </w:rPr>
              <w:t>jobdefinition-39</w:t>
            </w:r>
          </w:p>
        </w:tc>
        <w:tc>
          <w:tcPr>
            <w:tcW w:type="dxa" w:w="2880"/>
          </w:tcPr>
          <w:p>
            <w:r/>
            <w:r>
              <w:rPr>
                <w:sz w:val="19"/>
              </w:rPr>
              <w:t>Command: python3, Arguments: send_report_email.py</w:t>
            </w:r>
          </w:p>
        </w:tc>
      </w:tr>
      <w:tr>
        <w:tc>
          <w:tcPr>
            <w:tcW w:type="dxa" w:w="2880"/>
          </w:tcPr>
          <w:p>
            <w:r/>
            <w:r>
              <w:rPr>
                <w:sz w:val="19"/>
              </w:rPr>
              <w:t>Code Engine secret</w:t>
            </w:r>
          </w:p>
        </w:tc>
        <w:tc>
          <w:tcPr>
            <w:tcW w:type="dxa" w:w="2880"/>
          </w:tcPr>
          <w:p>
            <w:r/>
            <w:r>
              <w:rPr>
                <w:sz w:val="19"/>
              </w:rPr>
              <w:t>smtp-credentials</w:t>
            </w:r>
          </w:p>
        </w:tc>
        <w:tc>
          <w:tcPr>
            <w:tcW w:type="dxa" w:w="2880"/>
          </w:tcPr>
          <w:p>
            <w:r/>
            <w:r>
              <w:rPr>
                <w:sz w:val="19"/>
              </w:rPr>
              <w:t>Generic secret, referenced as "Reference to full secret" on the job</w:t>
            </w:r>
          </w:p>
        </w:tc>
      </w:tr>
      <w:tr>
        <w:tc>
          <w:tcPr>
            <w:tcW w:type="dxa" w:w="2880"/>
          </w:tcPr>
          <w:p>
            <w:r/>
            <w:r>
              <w:rPr>
                <w:sz w:val="19"/>
              </w:rPr>
              <w:t>Event subscription</w:t>
            </w:r>
          </w:p>
        </w:tc>
        <w:tc>
          <w:tcPr>
            <w:tcW w:type="dxa" w:w="2880"/>
          </w:tcPr>
          <w:p>
            <w:r/>
            <w:r>
              <w:rPr>
                <w:sz w:val="19"/>
              </w:rPr>
              <w:t>wekelijks-rapport-timer</w:t>
            </w:r>
          </w:p>
        </w:tc>
        <w:tc>
          <w:tcPr>
            <w:tcW w:type="dxa" w:w="2880"/>
          </w:tcPr>
          <w:p>
            <w:r/>
            <w:r>
              <w:rPr>
                <w:sz w:val="19"/>
              </w:rPr>
              <w:t>Timer source, cron 0 7   1, invokes jobdefinition-39</w:t>
            </w:r>
          </w:p>
        </w:tc>
      </w:tr>
      <w:tr>
        <w:tc>
          <w:tcPr>
            <w:tcW w:type="dxa" w:w="2880"/>
          </w:tcPr>
          <w:p>
            <w:r/>
            <w:r>
              <w:rPr>
                <w:sz w:val="19"/>
              </w:rPr>
              <w:t>Cloud Logs instance</w:t>
            </w:r>
          </w:p>
        </w:tc>
        <w:tc>
          <w:tcPr>
            <w:tcW w:type="dxa" w:w="2880"/>
          </w:tcPr>
          <w:p>
            <w:r/>
            <w:r>
              <w:rPr>
                <w:sz w:val="19"/>
              </w:rPr>
              <w:t>Cloud Logs-ch</w:t>
            </w:r>
          </w:p>
        </w:tc>
        <w:tc>
          <w:tcPr>
            <w:tcW w:type="dxa" w:w="2880"/>
          </w:tcPr>
          <w:p>
            <w:r/>
            <w:r>
              <w:rPr>
                <w:sz w:val="19"/>
              </w:rPr>
              <w:t>Attached to the project for observability; in practice this did not surface the job's own print statements — see §7 Known Issues</w:t>
            </w:r>
          </w:p>
        </w:tc>
      </w:tr>
      <w:tr>
        <w:tc>
          <w:tcPr>
            <w:tcW w:type="dxa" w:w="2880"/>
          </w:tcPr>
          <w:p>
            <w:r/>
            <w:r>
              <w:rPr>
                <w:sz w:val="19"/>
              </w:rPr>
              <w:t>GitHub account</w:t>
            </w:r>
          </w:p>
        </w:tc>
        <w:tc>
          <w:tcPr>
            <w:tcW w:type="dxa" w:w="2880"/>
          </w:tcPr>
          <w:p>
            <w:r/>
            <w:r>
              <w:rPr>
                <w:sz w:val="19"/>
              </w:rPr>
              <w:t>erikweegenaar@nl.ibm.com (username ErikWeegenaar)</w:t>
            </w:r>
          </w:p>
        </w:tc>
        <w:tc>
          <w:tcPr>
            <w:tcW w:type="dxa" w:w="2880"/>
          </w:tcPr>
          <w:p>
            <w:r/>
            <w:r>
              <w:rPr>
                <w:sz w:val="19"/>
              </w:rPr>
              <w:t>Personal, not a service account</w:t>
            </w:r>
          </w:p>
        </w:tc>
      </w:tr>
      <w:tr>
        <w:tc>
          <w:tcPr>
            <w:tcW w:type="dxa" w:w="2880"/>
          </w:tcPr>
          <w:p>
            <w:r/>
            <w:r>
              <w:rPr>
                <w:sz w:val="19"/>
              </w:rPr>
              <w:t>GitHub repository</w:t>
            </w:r>
          </w:p>
        </w:tc>
        <w:tc>
          <w:tcPr>
            <w:tcW w:type="dxa" w:w="2880"/>
          </w:tcPr>
          <w:p>
            <w:r/>
            <w:r>
              <w:rPr>
                <w:sz w:val="19"/>
              </w:rPr>
              <w:t>github.com/ErikWeegenaar/powervs-rapportage</w:t>
            </w:r>
          </w:p>
        </w:tc>
        <w:tc>
          <w:tcPr>
            <w:tcW w:type="dxa" w:w="2880"/>
          </w:tcPr>
          <w:p>
            <w:r/>
            <w:r>
              <w:rPr>
                <w:sz w:val="19"/>
              </w:rPr>
              <w:t>Action required — see §7.1: was temporarily set to Public during initial build troubleshooting; visibility should be verified/reverted to Private</w:t>
            </w:r>
          </w:p>
        </w:tc>
      </w:tr>
      <w:tr>
        <w:tc>
          <w:tcPr>
            <w:tcW w:type="dxa" w:w="2880"/>
          </w:tcPr>
          <w:p>
            <w:r/>
            <w:r>
              <w:rPr>
                <w:sz w:val="19"/>
              </w:rPr>
              <w:t>GitHub Personal Access Token</w:t>
            </w:r>
          </w:p>
        </w:tc>
        <w:tc>
          <w:tcPr>
            <w:tcW w:type="dxa" w:w="2880"/>
          </w:tcPr>
          <w:p>
            <w:r/>
            <w:r>
              <w:rPr>
                <w:sz w:val="19"/>
              </w:rPr>
              <w:t>ghp_... (classic, scope repo)</w:t>
            </w:r>
          </w:p>
        </w:tc>
        <w:tc>
          <w:tcPr>
            <w:tcW w:type="dxa" w:w="2880"/>
          </w:tcPr>
          <w:p>
            <w:r/>
            <w:r>
              <w:rPr>
                <w:sz w:val="19"/>
              </w:rPr>
              <w:t>Held by Erik; expires per the chosen expiration window (90 days was used) — needs periodic renewal, otherwise future manual pushes from Cloud Shell will fail (the Code Engine build itself does not need the token once the repo was made accessible)</w:t>
            </w:r>
          </w:p>
        </w:tc>
      </w:tr>
      <w:tr>
        <w:tc>
          <w:tcPr>
            <w:tcW w:type="dxa" w:w="2880"/>
          </w:tcPr>
          <w:p>
            <w:r/>
            <w:r>
              <w:rPr>
                <w:sz w:val="19"/>
              </w:rPr>
              <w:t>Sending mailbox</w:t>
            </w:r>
          </w:p>
        </w:tc>
        <w:tc>
          <w:tcPr>
            <w:tcW w:type="dxa" w:w="2880"/>
          </w:tcPr>
          <w:p>
            <w:r/>
            <w:r>
              <w:rPr>
                <w:sz w:val="19"/>
              </w:rPr>
              <w:t>bcsdashboard1@gmail.com</w:t>
            </w:r>
          </w:p>
        </w:tc>
        <w:tc>
          <w:tcPr>
            <w:tcW w:type="dxa" w:w="2880"/>
          </w:tcPr>
          <w:p>
            <w:r/>
            <w:r>
              <w:rPr>
                <w:sz w:val="19"/>
              </w:rPr>
              <w:t>Purpose-built Gmail account, used only as the SMTP relay for this report. Not a personal account — safe to rotate/replace without affecting anyone's personal inbox</w:t>
            </w:r>
          </w:p>
        </w:tc>
      </w:tr>
      <w:tr>
        <w:tc>
          <w:tcPr>
            <w:tcW w:type="dxa" w:w="2880"/>
          </w:tcPr>
          <w:p>
            <w:r/>
            <w:r>
              <w:rPr>
                <w:sz w:val="19"/>
              </w:rPr>
              <w:t>Gmail App Password</w:t>
            </w:r>
          </w:p>
        </w:tc>
        <w:tc>
          <w:tcPr>
            <w:tcW w:type="dxa" w:w="2880"/>
          </w:tcPr>
          <w:p>
            <w:r/>
            <w:r>
              <w:rPr>
                <w:sz w:val="19"/>
              </w:rPr>
              <w:t>16-character app password tied to bcsdashboard1@gmail.com</w:t>
            </w:r>
          </w:p>
        </w:tc>
        <w:tc>
          <w:tcPr>
            <w:tcW w:type="dxa" w:w="2880"/>
          </w:tcPr>
          <w:p>
            <w:r/>
            <w:r>
              <w:rPr>
                <w:sz w:val="19"/>
              </w:rPr>
              <w:t>Stored only inside the smtp-credentials secret in Code Engine — never in code or GitHub. Recommended: rotate yearly</w:t>
            </w:r>
          </w:p>
        </w:tc>
      </w:tr>
      <w:tr>
        <w:tc>
          <w:tcPr>
            <w:tcW w:type="dxa" w:w="2880"/>
          </w:tcPr>
          <w:p>
            <w:r/>
            <w:r>
              <w:rPr>
                <w:sz w:val="19"/>
              </w:rPr>
              <w:t>Report recipient</w:t>
            </w:r>
          </w:p>
        </w:tc>
        <w:tc>
          <w:tcPr>
            <w:tcW w:type="dxa" w:w="2880"/>
          </w:tcPr>
          <w:p>
            <w:r/>
            <w:r>
              <w:rPr>
                <w:sz w:val="19"/>
              </w:rPr>
              <w:t>erikweegenaar@nl.ibm.com</w:t>
            </w:r>
          </w:p>
        </w:tc>
        <w:tc>
          <w:tcPr>
            <w:tcW w:type="dxa" w:w="2880"/>
          </w:tcPr>
          <w:p>
            <w:r/>
            <w:r>
              <w:rPr>
                <w:sz w:val="19"/>
              </w:rPr>
              <w:t>Configurable — see §5.1</w:t>
            </w:r>
          </w:p>
        </w:tc>
      </w:tr>
    </w:tbl>
    <w:p/>
    <w:p/>
    <w:p>
      <w:pPr>
        <w:pStyle w:val="Heading1"/>
      </w:pPr>
      <w:r>
        <w:rPr>
          <w:color w:val="0F62FE"/>
        </w:rPr>
        <w:t>4. Data sources behind the report — IMPORTANT, read this section carefully</w:t>
      </w:r>
    </w:p>
    <w:p>
      <w:r>
        <w:t xml:space="preserve">This is the single most important thing for a new administrator to understand: </w:t>
      </w:r>
      <w:r>
        <w:rPr>
          <w:b/>
        </w:rPr>
        <w:t>the 540 resources shown in the dashboard come from two different sources that are not currently reconciled automatically.</w:t>
      </w:r>
    </w:p>
    <w:p>
      <w:pPr>
        <w:pStyle w:val="Heading2"/>
      </w:pPr>
      <w:r>
        <w:rPr>
          <w:color w:val="161616"/>
        </w:rPr>
        <w:t>4.1 Live data (327 resources)</w:t>
      </w:r>
    </w:p>
    <w:p>
      <w:r>
        <w:t xml:space="preserve">Pulled automatically from the </w:t>
      </w:r>
      <w:r>
        <w:rPr>
          <w:b/>
        </w:rPr>
        <w:t>IBM Cloud Resource Controller API</w:t>
      </w:r>
      <w:r>
        <w:t>. This is always current as of the last data refresh, requires no manual work, but has two structural limitations:</w:t>
      </w:r>
    </w:p>
    <w:p>
      <w:pPr>
        <w:pStyle w:val="ListBullet"/>
      </w:pPr>
      <w:r>
        <w:t xml:space="preserve">It does </w:t>
      </w:r>
      <w:r>
        <w:rPr>
          <w:b/>
        </w:rPr>
        <w:t>not</w:t>
      </w:r>
      <w:r>
        <w:t xml:space="preserve"> return a "Category" classification (Compute/Storage/Networking/Containers, etc.) — this had to be reconstructed separately.</w:t>
      </w:r>
    </w:p>
    <w:p>
      <w:pPr>
        <w:pStyle w:val="ListBullet"/>
      </w:pPr>
      <w:r>
        <w:t xml:space="preserve">It does </w:t>
      </w:r>
      <w:r>
        <w:rPr>
          <w:b/>
        </w:rPr>
        <w:t>not</w:t>
      </w:r>
      <w:r>
        <w:t xml:space="preserve"> return any link to OpenShift clusters. The API simply has no concept of "this VM belongs to OpenShift cluster X".</w:t>
      </w:r>
    </w:p>
    <w:p>
      <w:pPr>
        <w:pStyle w:val="Heading2"/>
      </w:pPr>
      <w:r>
        <w:rPr>
          <w:color w:val="161616"/>
        </w:rPr>
        <w:t>4.2 Manual data (213 resources) — originates from the Excel file</w:t>
      </w:r>
    </w:p>
    <w:p>
      <w:r>
        <w:t xml:space="preserve">The remaining 213 resources in the dashboard come from </w:t>
      </w:r>
      <w:r>
        <w:rPr>
          <w:b/>
        </w:rPr>
        <w:t>`Environment_management_IBM_Cloud.xlsx`</w:t>
      </w:r>
      <w:r>
        <w:t>, a spreadsheet that Erik built up manually over time by:</w:t>
      </w:r>
    </w:p>
    <w:p>
      <w:pPr>
        <w:pStyle w:val="ListNumber"/>
      </w:pPr>
      <w:r>
        <w:t xml:space="preserve">Exporting resource/server lists from the </w:t>
      </w:r>
      <w:r>
        <w:rPr>
          <w:b/>
        </w:rPr>
        <w:t>Red Hat OpenShift Console</w:t>
      </w:r>
      <w:r>
        <w:t xml:space="preserve"> (per-cluster, logged in manually, one cluster at a time).</w:t>
      </w:r>
    </w:p>
    <w:p>
      <w:pPr>
        <w:pStyle w:val="ListNumber"/>
      </w:pPr>
      <w:r>
        <w:t>Cross-referencing those exports against the IBM Cloud Power VS workspace data.</w:t>
      </w:r>
    </w:p>
    <w:p>
      <w:pPr>
        <w:pStyle w:val="ListNumber"/>
      </w:pPr>
      <w:r>
        <w:t xml:space="preserve">Manually writing in the </w:t>
      </w:r>
      <w:r>
        <w:rPr>
          <w:rFonts w:ascii="Consolas" w:hAnsi="Consolas"/>
          <w:color w:val="B31D28"/>
          <w:sz w:val="19"/>
        </w:rPr>
        <w:t>Cluster</w:t>
      </w:r>
      <w:r>
        <w:t xml:space="preserve"> / </w:t>
      </w:r>
      <w:r>
        <w:rPr>
          <w:rFonts w:ascii="Consolas" w:hAnsi="Consolas"/>
          <w:color w:val="B31D28"/>
          <w:sz w:val="19"/>
        </w:rPr>
        <w:t>Environment</w:t>
      </w:r>
      <w:r>
        <w:t xml:space="preserve"> / </w:t>
      </w:r>
      <w:r>
        <w:rPr>
          <w:rFonts w:ascii="Consolas" w:hAnsi="Consolas"/>
          <w:color w:val="B31D28"/>
          <w:sz w:val="19"/>
        </w:rPr>
        <w:t>Type</w:t>
      </w:r>
      <w:r>
        <w:t xml:space="preserve"> columns by </w:t>
      </w:r>
      <w:r>
        <w:rPr>
          <w:b/>
        </w:rPr>
        <w:t>reading the resource name</w:t>
      </w:r>
      <w:r>
        <w:t xml:space="preserve"> (e.g. a server named </w:t>
      </w:r>
      <w:r>
        <w:rPr>
          <w:rFonts w:ascii="Consolas" w:hAnsi="Consolas"/>
          <w:color w:val="B31D28"/>
          <w:sz w:val="19"/>
        </w:rPr>
        <w:t>os9010-int2-volume</w:t>
      </w:r>
      <w:r>
        <w:t xml:space="preserve"> was manually inferred to belong to environment </w:t>
      </w:r>
      <w:r>
        <w:rPr>
          <w:rFonts w:ascii="Consolas" w:hAnsi="Consolas"/>
          <w:color w:val="B31D28"/>
          <w:sz w:val="19"/>
        </w:rPr>
        <w:t>INT2</w:t>
      </w:r>
      <w:r>
        <w:t xml:space="preserve">, part of the </w:t>
      </w:r>
      <w:r>
        <w:rPr>
          <w:rFonts w:ascii="Consolas" w:hAnsi="Consolas"/>
          <w:color w:val="B31D28"/>
          <w:sz w:val="19"/>
        </w:rPr>
        <w:t>IBAS</w:t>
      </w:r>
      <w:r>
        <w:t xml:space="preserve"> OpenShift cluster, because Erik knew that convention from working with the OpenShift Console directly).</w:t>
      </w:r>
    </w:p>
    <w:p>
      <w:r>
        <w:t>This manual file is where the environment labels (</w:t>
      </w:r>
      <w:r>
        <w:rPr>
          <w:rFonts w:ascii="Consolas" w:hAnsi="Consolas"/>
          <w:color w:val="B31D28"/>
          <w:sz w:val="19"/>
        </w:rPr>
        <w:t>IBAS</w:t>
      </w:r>
      <w:r>
        <w:t xml:space="preserve">, </w:t>
      </w:r>
      <w:r>
        <w:rPr>
          <w:rFonts w:ascii="Consolas" w:hAnsi="Consolas"/>
          <w:color w:val="B31D28"/>
          <w:sz w:val="19"/>
        </w:rPr>
        <w:t>INT</w:t>
      </w:r>
      <w:r>
        <w:t xml:space="preserve">, </w:t>
      </w:r>
      <w:r>
        <w:rPr>
          <w:rFonts w:ascii="Consolas" w:hAnsi="Consolas"/>
          <w:color w:val="B31D28"/>
          <w:sz w:val="19"/>
        </w:rPr>
        <w:t>INT2</w:t>
      </w:r>
      <w:r>
        <w:t xml:space="preserve">, </w:t>
      </w:r>
      <w:r>
        <w:rPr>
          <w:rFonts w:ascii="Consolas" w:hAnsi="Consolas"/>
          <w:color w:val="B31D28"/>
          <w:sz w:val="19"/>
        </w:rPr>
        <w:t>BCS</w:t>
      </w:r>
      <w:r>
        <w:t xml:space="preserve">, and their </w:t>
      </w:r>
      <w:r>
        <w:rPr>
          <w:rFonts w:ascii="Consolas" w:hAnsi="Consolas"/>
          <w:color w:val="B31D28"/>
          <w:sz w:val="19"/>
        </w:rPr>
        <w:t>-V2</w:t>
      </w:r>
      <w:r>
        <w:t xml:space="preserve"> variants) and the </w:t>
      </w:r>
      <w:r>
        <w:rPr>
          <w:b/>
        </w:rPr>
        <w:t>OpenShift cluster linkage (218 resources)</w:t>
      </w:r>
      <w:r>
        <w:t xml:space="preserve"> originally came from. It is a point-in-time snapshot — </w:t>
      </w:r>
      <w:r>
        <w:rPr>
          <w:b/>
        </w:rPr>
        <w:t>it does not update itself.</w:t>
      </w:r>
    </w:p>
    <w:p>
      <w:pPr>
        <w:pStyle w:val="Heading2"/>
      </w:pPr>
      <w:r>
        <w:rPr>
          <w:color w:val="161616"/>
        </w:rPr>
        <w:t>4.3 How the two are merged today</w:t>
      </w:r>
    </w:p>
    <w:p>
      <w:r>
        <w:t>A script (</w:t>
      </w:r>
      <w:r>
        <w:rPr>
          <w:rFonts w:ascii="Consolas" w:hAnsi="Consolas"/>
          <w:color w:val="B31D28"/>
          <w:sz w:val="19"/>
        </w:rPr>
        <w:t>automation/build_manual_supplement.py</w:t>
      </w:r>
      <w:r>
        <w:t xml:space="preserve">) takes the 213 rows from the Excel-derived export that are </w:t>
      </w:r>
      <w:r>
        <w:rPr>
          <w:b/>
        </w:rPr>
        <w:t>not already present</w:t>
      </w:r>
      <w:r>
        <w:t xml:space="preserve"> in the live 327-row API pull, and appends them to the dataset, tagged with </w:t>
      </w:r>
      <w:r>
        <w:rPr>
          <w:rFonts w:ascii="Consolas" w:hAnsi="Consolas"/>
          <w:color w:val="B31D28"/>
          <w:sz w:val="19"/>
        </w:rPr>
        <w:t>DataSource: "Manual (OpenShift Console / earlier export)"</w:t>
      </w:r>
      <w:r>
        <w:t xml:space="preserve"> so they are visibly distinguishable in the dashboard (filterable via the "All data sources" dropdown).</w:t>
      </w:r>
    </w:p>
    <w:p>
      <w:r>
        <w:t xml:space="preserve">The </w:t>
      </w:r>
      <w:r>
        <w:rPr>
          <w:b/>
        </w:rPr>
        <w:t>environment label</w:t>
      </w:r>
      <w:r>
        <w:t xml:space="preserve"> (IBAS / INT / INT2 / BCS / etc.) for both live and manual resources is now derived automatically by </w:t>
      </w:r>
      <w:r>
        <w:rPr>
          <w:rFonts w:ascii="Consolas" w:hAnsi="Consolas"/>
          <w:color w:val="B31D28"/>
          <w:sz w:val="19"/>
        </w:rPr>
        <w:t>automation/environment_rules.csv</w:t>
      </w:r>
      <w:r>
        <w:t xml:space="preserve"> — a small, human-editable pattern-matching table (e.g. "if the resource name contains </w:t>
      </w:r>
      <w:r>
        <w:rPr>
          <w:rFonts w:ascii="Consolas" w:hAnsi="Consolas"/>
          <w:color w:val="B31D28"/>
          <w:sz w:val="19"/>
        </w:rPr>
        <w:t>ibas</w:t>
      </w:r>
      <w:r>
        <w:t xml:space="preserve">, label it </w:t>
      </w:r>
      <w:r>
        <w:rPr>
          <w:rFonts w:ascii="Consolas" w:hAnsi="Consolas"/>
          <w:color w:val="B31D28"/>
          <w:sz w:val="19"/>
        </w:rPr>
        <w:t>IBAS</w:t>
      </w:r>
      <w:r>
        <w:t xml:space="preserve">"). This replaced the fully-manual Excel classification and was validated against all 218 originally-classified resources with </w:t>
      </w:r>
      <w:r>
        <w:rPr>
          <w:b/>
        </w:rPr>
        <w:t>zero mismatches</w:t>
      </w:r>
      <w:r>
        <w:t xml:space="preserve">. If a new environment naming convention appears in the future, add one line to </w:t>
      </w:r>
      <w:r>
        <w:rPr>
          <w:rFonts w:ascii="Consolas" w:hAnsi="Consolas"/>
          <w:color w:val="B31D28"/>
          <w:sz w:val="19"/>
        </w:rPr>
        <w:t>environment_rules.csv</w:t>
      </w:r>
      <w:r>
        <w:t xml:space="preserve"> — no code changes needed.</w:t>
      </w:r>
    </w:p>
    <w:p>
      <w:pPr>
        <w:pStyle w:val="Heading2"/>
      </w:pPr>
      <w:r>
        <w:rPr>
          <w:color w:val="161616"/>
        </w:rPr>
        <w:t>4.4 What does NOT update automatically</w:t>
      </w:r>
    </w:p>
    <w:p>
      <w:pPr>
        <w:pStyle w:val="ListBullet"/>
      </w:pPr>
      <w:r>
        <w:t xml:space="preserve">The underlying 213 "Manual" resources themselves are frozen at the point the Excel export was taken. If servers in IBAS/INT/INT2/BCS are added, removed, or renamed on the OpenShift side, </w:t>
      </w:r>
      <w:r>
        <w:rPr>
          <w:b/>
        </w:rPr>
        <w:t>this will not be reflected</w:t>
      </w:r>
      <w:r>
        <w:t xml:space="preserve"> until someone repeats the manual Red Hat Console export process, or until the automated linkage described in §6 is built.</w:t>
      </w:r>
    </w:p>
    <w:p>
      <w:pPr>
        <w:pStyle w:val="ListBullet"/>
      </w:pPr>
      <w:r>
        <w:t xml:space="preserve">The OpenShift cluster </w:t>
      </w:r>
      <w:r>
        <w:rPr>
          <w:b/>
        </w:rPr>
        <w:t>version numbers and health status</w:t>
      </w:r>
      <w:r>
        <w:t xml:space="preserve"> shown on the "OpenShift Clusters" tab are similarly static, from the same manual export.</w:t>
      </w:r>
    </w:p>
    <w:p/>
    <w:p>
      <w:pPr>
        <w:pStyle w:val="Heading1"/>
      </w:pPr>
      <w:r>
        <w:rPr>
          <w:color w:val="0F62FE"/>
        </w:rPr>
        <w:t>5. Day-to-day administration</w:t>
      </w:r>
    </w:p>
    <w:p>
      <w:pPr>
        <w:pStyle w:val="Heading2"/>
      </w:pPr>
      <w:r>
        <w:rPr>
          <w:color w:val="161616"/>
        </w:rPr>
        <w:t>5.1 Changing the report recipient</w:t>
      </w:r>
    </w:p>
    <w:p>
      <w:pPr>
        <w:pStyle w:val="ListNumber"/>
      </w:pPr>
      <w:r>
        <w:t xml:space="preserve">Go to </w:t>
      </w:r>
      <w:r>
        <w:rPr>
          <w:rFonts w:ascii="Consolas" w:hAnsi="Consolas"/>
          <w:color w:val="B31D28"/>
          <w:sz w:val="19"/>
        </w:rPr>
        <w:t>https://cloud.ibm.com/codeengine/projects</w:t>
      </w:r>
      <w:r>
        <w:t xml:space="preserve"> → open project </w:t>
      </w:r>
      <w:r>
        <w:rPr>
          <w:b/>
        </w:rPr>
        <w:t>powervs-rapportage</w:t>
      </w:r>
      <w:r>
        <w:t>.</w:t>
      </w:r>
    </w:p>
    <w:p>
      <w:pPr>
        <w:pStyle w:val="ListNumber"/>
      </w:pPr>
      <w:r>
        <w:t xml:space="preserve">Left menu → </w:t>
      </w:r>
      <w:r>
        <w:rPr>
          <w:b/>
        </w:rPr>
        <w:t>Secrets and configmaps</w:t>
      </w:r>
      <w:r>
        <w:t xml:space="preserve"> → click </w:t>
      </w:r>
      <w:r>
        <w:rPr>
          <w:b/>
        </w:rPr>
        <w:t>smtp-credentials</w:t>
      </w:r>
      <w:r>
        <w:t xml:space="preserve"> → </w:t>
      </w:r>
      <w:r>
        <w:rPr>
          <w:b/>
        </w:rPr>
        <w:t>Edit</w:t>
      </w:r>
      <w:r>
        <w:t>.</w:t>
      </w:r>
    </w:p>
    <w:p>
      <w:pPr>
        <w:pStyle w:val="ListNumber"/>
      </w:pPr>
      <w:r>
        <w:t xml:space="preserve">Change the value of </w:t>
      </w:r>
      <w:r>
        <w:rPr>
          <w:rFonts w:ascii="Consolas" w:hAnsi="Consolas"/>
          <w:color w:val="B31D28"/>
          <w:sz w:val="19"/>
        </w:rPr>
        <w:t>REPORT_RECIPIENT</w:t>
      </w:r>
      <w:r>
        <w:t xml:space="preserve"> (comma-separated list is </w:t>
      </w:r>
      <w:r>
        <w:rPr>
          <w:b/>
        </w:rPr>
        <w:t>not</w:t>
      </w:r>
      <w:r>
        <w:t xml:space="preserve"> currently supported — the script sends to a single address; see §8.2 for how to extend this to multiple recipients).</w:t>
      </w:r>
    </w:p>
    <w:p>
      <w:pPr>
        <w:pStyle w:val="ListNumber"/>
      </w:pPr>
      <w:r>
        <w:t>Save. No rebuild needed — the Job reads the secret fresh on every run.</w:t>
      </w:r>
    </w:p>
    <w:p>
      <w:pPr>
        <w:pStyle w:val="Heading2"/>
      </w:pPr>
      <w:r>
        <w:rPr>
          <w:color w:val="161616"/>
        </w:rPr>
        <w:t>5.2 Changing the schedule</w:t>
      </w:r>
    </w:p>
    <w:p>
      <w:pPr>
        <w:pStyle w:val="ListNumber"/>
      </w:pPr>
      <w:r>
        <w:t xml:space="preserve">Same project → left menu → </w:t>
      </w:r>
      <w:r>
        <w:rPr>
          <w:b/>
        </w:rPr>
        <w:t>Event subscriptions</w:t>
      </w:r>
      <w:r>
        <w:t xml:space="preserve"> → click </w:t>
      </w:r>
      <w:r>
        <w:rPr>
          <w:b/>
        </w:rPr>
        <w:t>wekelijks-rapport-timer</w:t>
      </w:r>
      <w:r>
        <w:t xml:space="preserve"> → </w:t>
      </w:r>
      <w:r>
        <w:rPr>
          <w:b/>
        </w:rPr>
        <w:t>Edit</w:t>
      </w:r>
      <w:r>
        <w:t>.</w:t>
      </w:r>
    </w:p>
    <w:p>
      <w:pPr>
        <w:pStyle w:val="ListNumber"/>
      </w:pPr>
      <w:r>
        <w:t xml:space="preserve">Adjust the cron expression (currently </w:t>
      </w:r>
      <w:r>
        <w:rPr>
          <w:rFonts w:ascii="Consolas" w:hAnsi="Consolas"/>
          <w:color w:val="B31D28"/>
          <w:sz w:val="19"/>
        </w:rPr>
        <w:t>0 7 * * 1</w:t>
      </w:r>
      <w:r>
        <w:t xml:space="preserve"> = every Monday at 07:00 UTC) or the day-of-week/time fields in the UI.</w:t>
      </w:r>
    </w:p>
    <w:p>
      <w:pPr>
        <w:pStyle w:val="ListNumber"/>
      </w:pPr>
      <w:r>
        <w:t>Save.</w:t>
      </w:r>
    </w:p>
    <w:p>
      <w:pPr>
        <w:pStyle w:val="Heading2"/>
      </w:pPr>
      <w:r>
        <w:rPr>
          <w:color w:val="161616"/>
        </w:rPr>
        <w:t>5.3 Running the report manually (on demand, outside the schedule)</w:t>
      </w:r>
    </w:p>
    <w:p>
      <w:r>
        <w:t>Via the console:</w:t>
      </w:r>
    </w:p>
    <w:p>
      <w:pPr>
        <w:pStyle w:val="ListNumber"/>
      </w:pPr>
      <w:r>
        <w:t xml:space="preserve">Project → </w:t>
      </w:r>
      <w:r>
        <w:rPr>
          <w:b/>
        </w:rPr>
        <w:t>Jobs</w:t>
      </w:r>
      <w:r>
        <w:t xml:space="preserve"> → click </w:t>
      </w:r>
      <w:r>
        <w:rPr>
          <w:b/>
        </w:rPr>
        <w:t>jobdefinition-39</w:t>
      </w:r>
      <w:r>
        <w:t xml:space="preserve"> → </w:t>
      </w:r>
      <w:r>
        <w:rPr>
          <w:b/>
        </w:rPr>
        <w:t>Submit job</w:t>
      </w:r>
      <w:r>
        <w:t xml:space="preserve"> → confirm.</w:t>
      </w:r>
    </w:p>
    <w:p>
      <w:pPr>
        <w:pStyle w:val="ListNumber"/>
      </w:pPr>
      <w:r>
        <w:t>Wait ~1 minute, check the recipient's inbox.</w:t>
      </w:r>
    </w:p>
    <w:p>
      <w:r>
        <w:t>Via Cloud Shell (useful for debugging):</w:t>
      </w:r>
    </w:p>
    <w:p>
      <w:pPr>
        <w:ind w:left="432"/>
        <w:shd w:val="clear" w:color="auto" w:fill="F4F4F4"/>
      </w:pPr>
      <w:r>
        <w:rPr>
          <w:rFonts w:ascii="Consolas" w:hAnsi="Consolas"/>
          <w:color w:val="242424"/>
          <w:sz w:val="18"/>
        </w:rPr>
        <w:t>ibmcloud target -g Default</w:t>
        <w:br/>
      </w:r>
      <w:r>
        <w:rPr>
          <w:rFonts w:ascii="Consolas" w:hAnsi="Consolas"/>
          <w:color w:val="242424"/>
          <w:sz w:val="18"/>
        </w:rPr>
        <w:t>ibmcloud ce project select --name powervs-rapportage</w:t>
        <w:br/>
      </w:r>
      <w:r>
        <w:rPr>
          <w:rFonts w:ascii="Consolas" w:hAnsi="Consolas"/>
          <w:color w:val="242424"/>
          <w:sz w:val="18"/>
        </w:rPr>
        <w:t>ibmcloud ce jobrun submit --job jobdefinition-39</w:t>
      </w:r>
    </w:p>
    <w:p>
      <w:pPr>
        <w:pStyle w:val="Heading2"/>
      </w:pPr>
      <w:r>
        <w:rPr>
          <w:color w:val="161616"/>
        </w:rPr>
        <w:t>5.4 Updating the code (e.g. changing the email design, fixing a bug)</w:t>
      </w:r>
    </w:p>
    <w:p>
      <w:r>
        <w:rPr>
          <w:b/>
        </w:rPr>
        <w:t>Do not edit files directly in the GitHub web editor for anything beyond a one-line change.</w:t>
      </w:r>
      <w:r>
        <w:t xml:space="preserve"> During the build of this system, GitHub's web editor silently merged/corrupted line breaks on longer pastes twice, which caused two failed deployments. The reliable method used throughout this project:</w:t>
      </w:r>
    </w:p>
    <w:p>
      <w:pPr>
        <w:pStyle w:val="ListNumber"/>
      </w:pPr>
      <w:r>
        <w:t xml:space="preserve">Edit the file locally (or have it generated), verify it compiles: </w:t>
      </w:r>
      <w:r>
        <w:rPr>
          <w:rFonts w:ascii="Consolas" w:hAnsi="Consolas"/>
          <w:color w:val="B31D28"/>
          <w:sz w:val="19"/>
        </w:rPr>
        <w:t>python3 -m py_compile send_report_email.py</w:t>
      </w:r>
      <w:r>
        <w:t>.</w:t>
      </w:r>
    </w:p>
    <w:p>
      <w:pPr>
        <w:pStyle w:val="ListNumber"/>
      </w:pPr>
      <w:r>
        <w:t>Serve it via a temporary local file server and download it as a plain file (avoids clipboard/web-editor corruption).</w:t>
      </w:r>
    </w:p>
    <w:p>
      <w:pPr>
        <w:pStyle w:val="ListNumber"/>
      </w:pPr>
      <w:r>
        <w:t xml:space="preserve">Upload the file directly into </w:t>
      </w:r>
      <w:r>
        <w:rPr>
          <w:b/>
        </w:rPr>
        <w:t>Cloud Shell</w:t>
      </w:r>
      <w:r>
        <w:t xml:space="preserve"> using the Cloud Shell "Upload file" function (⋮ menu, top right of the Cloud Shell pane).</w:t>
      </w:r>
    </w:p>
    <w:p>
      <w:pPr>
        <w:pStyle w:val="ListNumber"/>
      </w:pPr>
      <w:r>
        <w:t xml:space="preserve">Inside Cloud Shell, move it into </w:t>
      </w:r>
      <w:r>
        <w:rPr>
          <w:rFonts w:ascii="Consolas" w:hAnsi="Consolas"/>
          <w:color w:val="B31D28"/>
          <w:sz w:val="19"/>
        </w:rPr>
        <w:t>~/powervs-rapportage/</w:t>
      </w:r>
      <w:r>
        <w:t xml:space="preserve">, re-verify with </w:t>
      </w:r>
      <w:r>
        <w:rPr>
          <w:rFonts w:ascii="Consolas" w:hAnsi="Consolas"/>
          <w:color w:val="B31D28"/>
          <w:sz w:val="19"/>
        </w:rPr>
        <w:t>py_compile</w:t>
      </w:r>
      <w:r>
        <w:t>, then:</w:t>
      </w:r>
    </w:p>
    <w:p>
      <w:pPr>
        <w:ind w:left="432"/>
        <w:shd w:val="clear" w:color="auto" w:fill="F4F4F4"/>
      </w:pPr>
      <w:r>
        <w:rPr>
          <w:rFonts w:ascii="Consolas" w:hAnsi="Consolas"/>
          <w:color w:val="242424"/>
          <w:sz w:val="18"/>
        </w:rPr>
        <w:t xml:space="preserve">   git add &lt;changed files&gt;</w:t>
        <w:br/>
      </w:r>
      <w:r>
        <w:rPr>
          <w:rFonts w:ascii="Consolas" w:hAnsi="Consolas"/>
          <w:color w:val="242424"/>
          <w:sz w:val="18"/>
        </w:rPr>
        <w:t xml:space="preserve">   git commit -m "describe the change"</w:t>
        <w:br/>
      </w:r>
      <w:r>
        <w:rPr>
          <w:rFonts w:ascii="Consolas" w:hAnsi="Consolas"/>
          <w:color w:val="242424"/>
          <w:sz w:val="18"/>
        </w:rPr>
        <w:t xml:space="preserve">   git push</w:t>
      </w:r>
    </w:p>
    <w:p>
      <w:pPr>
        <w:pStyle w:val="ListNumber"/>
      </w:pPr>
      <w:r>
        <w:t xml:space="preserve">Trigger a new build: Project → </w:t>
      </w:r>
      <w:r>
        <w:rPr>
          <w:b/>
        </w:rPr>
        <w:t>Image builds</w:t>
      </w:r>
      <w:r>
        <w:t xml:space="preserve"> → click the build name → </w:t>
      </w:r>
      <w:r>
        <w:rPr>
          <w:b/>
        </w:rPr>
        <w:t>Create</w:t>
      </w:r>
      <w:r>
        <w:t xml:space="preserve"> (submits a new build run, which pulls the latest GitHub commit).</w:t>
      </w:r>
    </w:p>
    <w:p>
      <w:pPr>
        <w:pStyle w:val="ListNumber"/>
      </w:pPr>
      <w:r>
        <w:t xml:space="preserve">Once the build shows </w:t>
      </w:r>
      <w:r>
        <w:rPr>
          <w:b/>
        </w:rPr>
        <w:t>Succeeded</w:t>
      </w:r>
      <w:r>
        <w:t>, submit a test Job run (§5.3) and verify the email before trusting the next scheduled run.</w:t>
      </w:r>
    </w:p>
    <w:p>
      <w:pPr>
        <w:pStyle w:val="Heading2"/>
      </w:pPr>
      <w:r>
        <w:rPr>
          <w:color w:val="161616"/>
        </w:rPr>
        <w:t>5.5 Rotating the Gmail app password</w:t>
      </w:r>
    </w:p>
    <w:p>
      <w:pPr>
        <w:pStyle w:val="ListNumber"/>
      </w:pPr>
      <w:r>
        <w:t xml:space="preserve">Log into </w:t>
      </w:r>
      <w:r>
        <w:rPr>
          <w:rFonts w:ascii="Consolas" w:hAnsi="Consolas"/>
          <w:color w:val="B31D28"/>
          <w:sz w:val="19"/>
        </w:rPr>
        <w:t>bcsdashboard1@gmail.com</w:t>
      </w:r>
      <w:r>
        <w:t xml:space="preserve"> → </w:t>
      </w:r>
      <w:r>
        <w:rPr>
          <w:rFonts w:ascii="Consolas" w:hAnsi="Consolas"/>
          <w:color w:val="B31D28"/>
          <w:sz w:val="19"/>
        </w:rPr>
        <w:t>myaccount.google.com/apppasswords</w:t>
      </w:r>
      <w:r>
        <w:t xml:space="preserve"> → revoke the old one, create a new one.</w:t>
      </w:r>
    </w:p>
    <w:p>
      <w:pPr>
        <w:pStyle w:val="ListNumber"/>
      </w:pPr>
      <w:r>
        <w:t xml:space="preserve">Update the </w:t>
      </w:r>
      <w:r>
        <w:rPr>
          <w:rFonts w:ascii="Consolas" w:hAnsi="Consolas"/>
          <w:color w:val="B31D28"/>
          <w:sz w:val="19"/>
        </w:rPr>
        <w:t>SMTP_PASSWORD</w:t>
      </w:r>
      <w:r>
        <w:t xml:space="preserve"> value in the </w:t>
      </w:r>
      <w:r>
        <w:rPr>
          <w:rFonts w:ascii="Consolas" w:hAnsi="Consolas"/>
          <w:color w:val="B31D28"/>
          <w:sz w:val="19"/>
        </w:rPr>
        <w:t>smtp-credentials</w:t>
      </w:r>
      <w:r>
        <w:t xml:space="preserve"> secret (§5.1, same screen).</w:t>
      </w:r>
    </w:p>
    <w:p>
      <w:pPr>
        <w:pStyle w:val="ListNumber"/>
      </w:pPr>
      <w:r>
        <w:t>Run a manual test (§5.3) to confirm.</w:t>
      </w:r>
    </w:p>
    <w:p/>
    <w:p>
      <w:pPr>
        <w:pStyle w:val="Heading1"/>
      </w:pPr>
      <w:r>
        <w:rPr>
          <w:color w:val="0F62FE"/>
        </w:rPr>
        <w:t>6. The Red Hat OpenShift Console integration — NOT YET COMPLETED</w:t>
      </w:r>
    </w:p>
    <w:p>
      <w:r>
        <w:t xml:space="preserve">This was the next planned improvement and was </w:t>
      </w:r>
      <w:r>
        <w:rPr>
          <w:b/>
        </w:rPr>
        <w:t>not finished</w:t>
      </w:r>
      <w:r>
        <w:t>. Documenting the state precisely so the next person doesn't have to retrace the same ground.</w:t>
      </w:r>
    </w:p>
    <w:p>
      <w:pPr>
        <w:pStyle w:val="Heading2"/>
      </w:pPr>
      <w:r>
        <w:rPr>
          <w:color w:val="161616"/>
        </w:rPr>
        <w:t>6.1 Goal</w:t>
      </w:r>
    </w:p>
    <w:p>
      <w:r>
        <w:t>Replace the static, manually-exported 213-row OpenShift linkage (§4.2) with a live, automatic pull directly from the Red Hat OpenShift clusters, so the "Manual" data source category eventually disappears and everything becomes "Live".</w:t>
      </w:r>
    </w:p>
    <w:p>
      <w:pPr>
        <w:pStyle w:val="Heading2"/>
      </w:pPr>
      <w:r>
        <w:rPr>
          <w:color w:val="161616"/>
        </w:rPr>
        <w:t>6.2 What was attempted</w:t>
      </w:r>
    </w:p>
    <w:p>
      <w:pPr>
        <w:pStyle w:val="ListNumber"/>
      </w:pPr>
      <w:r>
        <w:rPr>
          <w:b/>
        </w:rPr>
        <w:t>console.redhat.com (Red Hat Hybrid Cloud Console) — a ServiceAccount named `environmentdashboard` was created there</w:t>
      </w:r>
      <w:r>
        <w:t xml:space="preserve">, following standard OCM-level instructions (Create ServiceAccount → RoleBinding → Secret/token). However, this console-level service account only grants access to </w:t>
      </w:r>
      <w:r>
        <w:rPr>
          <w:b/>
        </w:rPr>
        <w:t>OCM (OpenShift Cluster Manager) metadata</w:t>
      </w:r>
      <w:r>
        <w:t xml:space="preserve"> — things like cluster list, version, status at a high level. </w:t>
      </w:r>
      <w:r>
        <w:rPr>
          <w:b/>
        </w:rPr>
        <w:t>It does not grant API access to the contents of a specific cluster</w:t>
      </w:r>
      <w:r>
        <w:t xml:space="preserve"> (pods, nodes, VM-to-cluster mapping, etc.). This was a dead end for the actual goal, but the ServiceAccount itself still exists in console.redhat.com and can be deleted or repurposed.</w:t>
      </w:r>
    </w:p>
    <w:p>
      <w:pPr>
        <w:pStyle w:val="ListNumber"/>
      </w:pPr>
      <w:r>
        <w:rPr>
          <w:b/>
        </w:rPr>
        <w:t>The real requirement: a per-cluster ServiceAccount + token, created directly inside each cluster's own OpenShift Console</w:t>
      </w:r>
      <w:r>
        <w:t xml:space="preserve"> (not console.redhat.com). This requires:</w:t>
      </w:r>
    </w:p>
    <w:p>
      <w:pPr>
        <w:pStyle w:val="ListBullet"/>
      </w:pPr>
      <w:r>
        <w:t xml:space="preserve">Being on the Schiphol internal network or VPN (the cluster consoles are </w:t>
      </w:r>
      <w:r>
        <w:rPr>
          <w:b/>
        </w:rPr>
        <w:t>not internet-reachable</w:t>
      </w:r>
      <w:r>
        <w:t xml:space="preserve"> — confirmed via a failed </w:t>
      </w:r>
      <w:r>
        <w:rPr>
          <w:rFonts w:ascii="Consolas" w:hAnsi="Consolas"/>
          <w:color w:val="B31D28"/>
          <w:sz w:val="19"/>
        </w:rPr>
        <w:t>nslookup</w:t>
      </w:r>
      <w:r>
        <w:t xml:space="preserve"> for </w:t>
      </w:r>
      <w:r>
        <w:rPr>
          <w:rFonts w:ascii="Consolas" w:hAnsi="Consolas"/>
          <w:color w:val="B31D28"/>
          <w:sz w:val="19"/>
        </w:rPr>
        <w:t>console-openshift-console.apps.ibas-v2.bas.intra.schiphol.nl</w:t>
      </w:r>
      <w:r>
        <w:t xml:space="preserve">, which returned </w:t>
      </w:r>
      <w:r>
        <w:rPr>
          <w:rFonts w:ascii="Consolas" w:hAnsi="Consolas"/>
          <w:color w:val="B31D28"/>
          <w:sz w:val="19"/>
        </w:rPr>
        <w:t>NXDOMAIN</w:t>
      </w:r>
      <w:r>
        <w:t xml:space="preserve"> until VPN was active).</w:t>
      </w:r>
    </w:p>
    <w:p>
      <w:pPr>
        <w:pStyle w:val="ListBullet"/>
      </w:pPr>
      <w:r>
        <w:t>A working VPN connection. Two VPN clients were identified as relevant:</w:t>
      </w:r>
    </w:p>
    <w:p>
      <w:pPr>
        <w:pStyle w:val="ListBullet"/>
      </w:pPr>
      <w:r>
        <w:rPr>
          <w:b/>
        </w:rPr>
        <w:t>Cisco Secure Client</w:t>
      </w:r>
      <w:r>
        <w:t xml:space="preserve"> — connects to the general IBM network (was already in use for IBM Cloud access).</w:t>
      </w:r>
    </w:p>
    <w:p>
      <w:pPr>
        <w:pStyle w:val="ListBullet"/>
      </w:pPr>
      <w:r>
        <w:rPr>
          <w:b/>
        </w:rPr>
        <w:t>GlobalProtect (Palo Alto)</w:t>
      </w:r>
      <w:r>
        <w:t xml:space="preserve"> — appears to be the specific tunnel required for the Schiphol-internal </w:t>
      </w:r>
      <w:r>
        <w:rPr>
          <w:rFonts w:ascii="Consolas" w:hAnsi="Consolas"/>
          <w:color w:val="B31D28"/>
          <w:sz w:val="19"/>
        </w:rPr>
        <w:t>*.bas.intra.schiphol.nl</w:t>
      </w:r>
      <w:r>
        <w:t xml:space="preserve"> domain. </w:t>
      </w:r>
      <w:r>
        <w:rPr>
          <w:b/>
        </w:rPr>
        <w:t>GlobalProtect was downloaded but the connection itself was not completed/verified</w:t>
      </w:r>
      <w:r>
        <w:t xml:space="preserve"> in this session.</w:t>
      </w:r>
    </w:p>
    <w:p>
      <w:pPr>
        <w:pStyle w:val="ListNumber"/>
      </w:pPr>
      <w:r>
        <w:rPr>
          <w:b/>
        </w:rPr>
        <w:t>Network/firewall access request sent.</w:t>
      </w:r>
      <w:r>
        <w:t xml:space="preserve"> An email was sent referencing the error the user encountered (</w:t>
      </w:r>
      <w:r>
        <w:rPr>
          <w:rFonts w:ascii="Consolas" w:hAnsi="Consolas"/>
          <w:color w:val="B31D28"/>
          <w:sz w:val="19"/>
        </w:rPr>
        <w:t>Authentication Failed — Error code: -1</w:t>
      </w:r>
      <w:r>
        <w:t>) and the specific Schiphol Active Directory group believed to control this access (</w:t>
      </w:r>
      <w:r>
        <w:rPr>
          <w:rFonts w:ascii="Consolas" w:hAnsi="Consolas"/>
          <w:color w:val="B31D28"/>
          <w:sz w:val="19"/>
        </w:rPr>
        <w:t>Schiphol-NWBFOM20240410052</w:t>
      </w:r>
      <w:r>
        <w:t xml:space="preserve">), based on the </w:t>
      </w:r>
      <w:r>
        <w:rPr>
          <w:b/>
        </w:rPr>
        <w:t>iCDNet Lite Service Standards</w:t>
      </w:r>
      <w:r>
        <w:t xml:space="preserve"> document the user supplied. This request was addressed to contacts named in that document (Arsalan, George de Bouter, Frank van der Lee; Conscia contacts Kim van der Linden / Leon van der Ham were also named as possibilities). </w:t>
      </w:r>
      <w:r>
        <w:rPr>
          <w:b/>
        </w:rPr>
        <w:t>As of this writing, no confirmation of access being granted has been received.</w:t>
      </w:r>
    </w:p>
    <w:p>
      <w:pPr>
        <w:pStyle w:val="Heading2"/>
      </w:pPr>
      <w:r>
        <w:rPr>
          <w:color w:val="161616"/>
        </w:rPr>
        <w:t>6.3 What the next person needs to do to finish this</w:t>
      </w:r>
    </w:p>
    <w:p>
      <w:pPr>
        <w:pStyle w:val="ListNumber"/>
      </w:pPr>
      <w:r>
        <w:t xml:space="preserve">Confirm VPN access is granted and working (re-run the </w:t>
      </w:r>
      <w:r>
        <w:rPr>
          <w:rFonts w:ascii="Consolas" w:hAnsi="Consolas"/>
          <w:color w:val="B31D28"/>
          <w:sz w:val="19"/>
        </w:rPr>
        <w:t>nslookup</w:t>
      </w:r>
      <w:r>
        <w:t xml:space="preserve"> test from §6.2 — it should return an internal IP instead of </w:t>
      </w:r>
      <w:r>
        <w:rPr>
          <w:rFonts w:ascii="Consolas" w:hAnsi="Consolas"/>
          <w:color w:val="B31D28"/>
          <w:sz w:val="19"/>
        </w:rPr>
        <w:t>NXDOMAIN</w:t>
      </w:r>
      <w:r>
        <w:t xml:space="preserve"> once VPN is active and the firewall request has been approved).</w:t>
      </w:r>
    </w:p>
    <w:p>
      <w:pPr>
        <w:pStyle w:val="ListNumber"/>
      </w:pPr>
      <w:r>
        <w:t xml:space="preserve">Repeat, for </w:t>
      </w:r>
      <w:r>
        <w:rPr>
          <w:b/>
        </w:rPr>
        <w:t>each</w:t>
      </w:r>
      <w:r>
        <w:t xml:space="preserve"> of the relevant OpenShift clusters (IBAS, IBAS-V2, INT, INT-V2, INT2, INT2-V2, BCS — 6 clusters identified; BCS was noted as showing a "Stale" status and may need separate attention):</w:t>
      </w:r>
    </w:p>
    <w:p>
      <w:pPr>
        <w:pStyle w:val="ListBullet"/>
      </w:pPr>
      <w:r>
        <w:t xml:space="preserve">Log into that cluster's own OpenShift Console (URL pattern: </w:t>
      </w:r>
      <w:r>
        <w:rPr>
          <w:rFonts w:ascii="Consolas" w:hAnsi="Consolas"/>
          <w:color w:val="B31D28"/>
          <w:sz w:val="19"/>
        </w:rPr>
        <w:t>console-openshift-console.apps.&lt;cluster&gt;.bas.intra.schiphol.nl</w:t>
      </w:r>
      <w:r>
        <w:t>).</w:t>
      </w:r>
    </w:p>
    <w:p>
      <w:pPr>
        <w:pStyle w:val="ListBullet"/>
      </w:pPr>
      <w:r>
        <w:t xml:space="preserve">Create a ServiceAccount (e.g. </w:t>
      </w:r>
      <w:r>
        <w:rPr>
          <w:rFonts w:ascii="Consolas" w:hAnsi="Consolas"/>
          <w:color w:val="B31D28"/>
          <w:sz w:val="19"/>
        </w:rPr>
        <w:t>environmentdashboard</w:t>
      </w:r>
      <w:r>
        <w:t>, matching the name already used at the OCM level for consistency).</w:t>
      </w:r>
    </w:p>
    <w:p>
      <w:pPr>
        <w:pStyle w:val="ListBullet"/>
      </w:pPr>
      <w:r>
        <w:t xml:space="preserve">Create a RoleBinding with role </w:t>
      </w:r>
      <w:r>
        <w:rPr>
          <w:rFonts w:ascii="Consolas" w:hAnsi="Consolas"/>
          <w:color w:val="B31D28"/>
          <w:sz w:val="19"/>
        </w:rPr>
        <w:t>view</w:t>
      </w:r>
      <w:r>
        <w:t xml:space="preserve"> (read-only — deliberately not </w:t>
      </w:r>
      <w:r>
        <w:rPr>
          <w:rFonts w:ascii="Consolas" w:hAnsi="Consolas"/>
          <w:color w:val="B31D28"/>
          <w:sz w:val="19"/>
        </w:rPr>
        <w:t>edit</w:t>
      </w:r>
      <w:r>
        <w:t>, to minimize risk).</w:t>
      </w:r>
    </w:p>
    <w:p>
      <w:pPr>
        <w:pStyle w:val="ListBullet"/>
      </w:pPr>
      <w:r>
        <w:t xml:space="preserve">Create the Secret of type </w:t>
      </w:r>
      <w:r>
        <w:rPr>
          <w:rFonts w:ascii="Consolas" w:hAnsi="Consolas"/>
          <w:color w:val="B31D28"/>
          <w:sz w:val="19"/>
        </w:rPr>
        <w:t>kubernetes.io/service-account-token</w:t>
      </w:r>
      <w:r>
        <w:t xml:space="preserve"> bound to that ServiceAccount, to generate a long-lived token.</w:t>
      </w:r>
    </w:p>
    <w:p>
      <w:pPr>
        <w:pStyle w:val="ListBullet"/>
      </w:pPr>
      <w:r>
        <w:t xml:space="preserve">Store that token securely — </w:t>
      </w:r>
      <w:r>
        <w:rPr>
          <w:b/>
        </w:rPr>
        <w:t>never paste it into a chat tool or commit it to GitHub.</w:t>
      </w:r>
      <w:r>
        <w:t xml:space="preserve"> It should go into a new Code Engine secret (e.g. </w:t>
      </w:r>
      <w:r>
        <w:rPr>
          <w:rFonts w:ascii="Consolas" w:hAnsi="Consolas"/>
          <w:color w:val="B31D28"/>
          <w:sz w:val="19"/>
        </w:rPr>
        <w:t>openshift-&lt;clustername&gt;-token</w:t>
      </w:r>
      <w:r>
        <w:t xml:space="preserve">), the same pattern already used for </w:t>
      </w:r>
      <w:r>
        <w:rPr>
          <w:rFonts w:ascii="Consolas" w:hAnsi="Consolas"/>
          <w:color w:val="B31D28"/>
          <w:sz w:val="19"/>
        </w:rPr>
        <w:t>smtp-credentials</w:t>
      </w:r>
      <w:r>
        <w:t>.</w:t>
      </w:r>
    </w:p>
    <w:p>
      <w:pPr>
        <w:pStyle w:val="ListNumber"/>
      </w:pPr>
      <w:r>
        <w:t xml:space="preserve">Write a new script (e.g. </w:t>
      </w:r>
      <w:r>
        <w:rPr>
          <w:rFonts w:ascii="Consolas" w:hAnsi="Consolas"/>
          <w:color w:val="B31D28"/>
          <w:sz w:val="19"/>
        </w:rPr>
        <w:t>automation/fetch_openshift_live.py</w:t>
      </w:r>
      <w:r>
        <w:t>) that, for each cluster, calls the OpenShift/Kubernetes API (</w:t>
      </w:r>
      <w:r>
        <w:rPr>
          <w:rFonts w:ascii="Consolas" w:hAnsi="Consolas"/>
          <w:color w:val="B31D28"/>
          <w:sz w:val="19"/>
        </w:rPr>
        <w:t>GET /api/v1/nodes</w:t>
      </w:r>
      <w:r>
        <w:t xml:space="preserve">, </w:t>
      </w:r>
      <w:r>
        <w:rPr>
          <w:rFonts w:ascii="Consolas" w:hAnsi="Consolas"/>
          <w:color w:val="B31D28"/>
          <w:sz w:val="19"/>
        </w:rPr>
        <w:t>GET /apis/apps/v1/deployments</w:t>
      </w:r>
      <w:r>
        <w:t xml:space="preserve">, etc., using the token as a Bearer credential) and produces a JSON structure matching the shape currently hand-maintained in </w:t>
      </w:r>
      <w:r>
        <w:rPr>
          <w:rFonts w:ascii="Consolas" w:hAnsi="Consolas"/>
          <w:color w:val="B31D28"/>
          <w:sz w:val="19"/>
        </w:rPr>
        <w:t>ocp_environments.json</w:t>
      </w:r>
      <w:r>
        <w:t xml:space="preserve"> / the manual rows in </w:t>
      </w:r>
      <w:r>
        <w:rPr>
          <w:rFonts w:ascii="Consolas" w:hAnsi="Consolas"/>
          <w:color w:val="B31D28"/>
          <w:sz w:val="19"/>
        </w:rPr>
        <w:t>merged_resources_live.json</w:t>
      </w:r>
      <w:r>
        <w:t>.</w:t>
      </w:r>
    </w:p>
    <w:p>
      <w:pPr>
        <w:pStyle w:val="ListNumber"/>
      </w:pPr>
      <w:r>
        <w:t xml:space="preserve">Replace the call to </w:t>
      </w:r>
      <w:r>
        <w:rPr>
          <w:rFonts w:ascii="Consolas" w:hAnsi="Consolas"/>
          <w:color w:val="B31D28"/>
          <w:sz w:val="19"/>
        </w:rPr>
        <w:t>build_manual_supplement.py</w:t>
      </w:r>
      <w:r>
        <w:t xml:space="preserve"> (§4.3) with a call to this new live-fetch script, and update the </w:t>
      </w:r>
      <w:r>
        <w:rPr>
          <w:rFonts w:ascii="Consolas" w:hAnsi="Consolas"/>
          <w:color w:val="B31D28"/>
          <w:sz w:val="19"/>
        </w:rPr>
        <w:t>DataSource</w:t>
      </w:r>
      <w:r>
        <w:t xml:space="preserve"> tagging logic so these rows switch from </w:t>
      </w:r>
      <w:r>
        <w:rPr>
          <w:rFonts w:ascii="Consolas" w:hAnsi="Consolas"/>
          <w:color w:val="B31D28"/>
          <w:sz w:val="19"/>
        </w:rPr>
        <w:t>"Manual (OpenShift Console / earlier export)"</w:t>
      </w:r>
      <w:r>
        <w:t xml:space="preserve"> to </w:t>
      </w:r>
      <w:r>
        <w:rPr>
          <w:rFonts w:ascii="Consolas" w:hAnsi="Consolas"/>
          <w:color w:val="B31D28"/>
          <w:sz w:val="19"/>
        </w:rPr>
        <w:t>"Live (OpenShift API)"</w:t>
      </w:r>
      <w:r>
        <w:t>.</w:t>
      </w:r>
    </w:p>
    <w:p>
      <w:pPr>
        <w:pStyle w:val="ListNumber"/>
      </w:pPr>
      <w:r>
        <w:rPr>
          <w:b/>
        </w:rPr>
        <w:t>Important constraint to design around:</w:t>
      </w:r>
      <w:r>
        <w:t xml:space="preserve"> the Code Engine Job runs inside IBM Cloud's network, </w:t>
      </w:r>
      <w:r>
        <w:rPr>
          <w:b/>
        </w:rPr>
        <w:t>not</w:t>
      </w:r>
      <w:r>
        <w:t xml:space="preserve"> on the Schiphol internal network. Even once the ServiceAccount/token exists, the Job itself will not be able to reach </w:t>
      </w:r>
      <w:r>
        <w:rPr>
          <w:rFonts w:ascii="Consolas" w:hAnsi="Consolas"/>
          <w:color w:val="B31D28"/>
          <w:sz w:val="19"/>
        </w:rPr>
        <w:t>*.bas.intra.schiphol.nl</w:t>
      </w:r>
      <w:r>
        <w:t xml:space="preserve"> URLs unless either (a) IBM Cloud Code Engine is given a network path into the Schiphol network (e.g. a VPN gateway / private network connection configured by Schiphol network/security teams — likely a significant, separate piece of work), or (b) the live-fetch step is run from a machine that </w:t>
      </w:r>
      <w:r>
        <w:rPr>
          <w:b/>
        </w:rPr>
        <w:t>is</w:t>
      </w:r>
      <w:r>
        <w:t xml:space="preserve"> on the Schiphol network (e.g. a scheduled task on a Schiphol-managed server, which then uploads the resulting JSON somewhere Code Engine can read it, such as the same GitHub repository). </w:t>
      </w:r>
      <w:r>
        <w:rPr>
          <w:b/>
        </w:rPr>
        <w:t>Option (b) is almost certainly the pragmatic path — flag this to whoever picks up this work.</w:t>
      </w:r>
    </w:p>
    <w:p/>
    <w:p>
      <w:pPr>
        <w:pStyle w:val="Heading1"/>
      </w:pPr>
      <w:r>
        <w:rPr>
          <w:color w:val="0F62FE"/>
        </w:rPr>
        <w:t>7. Known issues and limitations</w:t>
      </w:r>
    </w:p>
    <w:p>
      <w:pPr>
        <w:pStyle w:val="Heading2"/>
      </w:pPr>
      <w:r>
        <w:rPr>
          <w:color w:val="161616"/>
        </w:rPr>
        <w:t>7.1 GitHub repository visibility — needs verification</w:t>
      </w:r>
    </w:p>
    <w:p>
      <w:r>
        <w:t xml:space="preserve">During initial build troubleshooting, Code Engine could not authenticate against the </w:t>
      </w:r>
      <w:r>
        <w:rPr>
          <w:b/>
        </w:rPr>
        <w:t>private</w:t>
      </w:r>
      <w:r>
        <w:t xml:space="preserve"> GitHub repository (no username/token field was available in the IBM Cloud "Specify build details" screen for HTTPS git sources — only an SSH secret option, which didn't match the setup). As a workaround, the repository was </w:t>
      </w:r>
      <w:r>
        <w:rPr>
          <w:b/>
        </w:rPr>
        <w:t>temporarily set to Public</w:t>
      </w:r>
      <w:r>
        <w:t xml:space="preserve"> to let the first build succeed. </w:t>
      </w:r>
      <w:r>
        <w:rPr>
          <w:b/>
        </w:rPr>
        <w:t>Verify at `github.com/ErikWeegenaar/powervs-rapportage/settings` whether the repository is still Public, and if business policy requires it, switch it back to Private</w:t>
      </w:r>
      <w:r>
        <w:t xml:space="preserve"> — noting that doing so will again block future Code Engine builds unless a working git-credential method is set up first (e.g. investigate IBM Cloud's "SSH secret" option properly, or keep the repo public since it only contains a snapshot of resource names/IPs, not credentials).</w:t>
      </w:r>
    </w:p>
    <w:p>
      <w:pPr>
        <w:pStyle w:val="Heading2"/>
      </w:pPr>
      <w:r>
        <w:rPr>
          <w:color w:val="161616"/>
        </w:rPr>
        <w:t>7.2 Cloud Logs does not show the Job's own print statements</w:t>
      </w:r>
    </w:p>
    <w:p>
      <w:r>
        <w:t xml:space="preserve">A </w:t>
      </w:r>
      <w:r>
        <w:rPr>
          <w:b/>
        </w:rPr>
        <w:t>Cloud Logs</w:t>
      </w:r>
      <w:r>
        <w:t xml:space="preserve"> instance (</w:t>
      </w:r>
      <w:r>
        <w:rPr>
          <w:rFonts w:ascii="Consolas" w:hAnsi="Consolas"/>
          <w:color w:val="B31D28"/>
          <w:sz w:val="19"/>
        </w:rPr>
        <w:t>Cloud Logs-ch</w:t>
      </w:r>
      <w:r>
        <w:t xml:space="preserve">) was attached to the project to provide visibility into what the script prints during a run. In practice, every attempt to find the script's own </w:t>
      </w:r>
      <w:r>
        <w:rPr>
          <w:rFonts w:ascii="Consolas" w:hAnsi="Consolas"/>
          <w:color w:val="B31D28"/>
          <w:sz w:val="19"/>
        </w:rPr>
        <w:t>print()</w:t>
      </w:r>
      <w:r>
        <w:t xml:space="preserve"> output (e.g. "Rapport opgebouwd: 540 resources...") in the Cloud Logs "Explore logs" screen failed — only platform </w:t>
      </w:r>
      <w:r>
        <w:rPr>
          <w:b/>
        </w:rPr>
        <w:t>audit events</w:t>
      </w:r>
      <w:r>
        <w:t xml:space="preserve"> (e.g. "list jobrun", "list builds") appeared, never actual container stdout. The root cause was not identified. </w:t>
      </w:r>
      <w:r>
        <w:rPr>
          <w:b/>
        </w:rPr>
        <w:t>Workaround used throughout this project:</w:t>
      </w:r>
      <w:r>
        <w:t xml:space="preserve"> run the Job manually from Cloud Shell with </w:t>
      </w:r>
      <w:r>
        <w:rPr>
          <w:rFonts w:ascii="Consolas" w:hAnsi="Consolas"/>
          <w:color w:val="B31D28"/>
          <w:sz w:val="19"/>
        </w:rPr>
        <w:t>ibmcloud ce jobrun submit</w:t>
      </w:r>
      <w:r>
        <w:t>, or run the script directly in Cloud Shell with environment variables set, to see live output. If this is worth fixing properly, check IBM Cloud documentation for "Code Engine container stdout to Cloud Logs" — there may be an additional configuration step (e.g. a log forwarding annotation) not covered in the UI flow used here.</w:t>
      </w:r>
    </w:p>
    <w:p>
      <w:pPr>
        <w:pStyle w:val="Heading2"/>
      </w:pPr>
      <w:r>
        <w:rPr>
          <w:color w:val="161616"/>
        </w:rPr>
        <w:t>7.3 Email delivery delay (Gmail → IBM Mail)</w:t>
      </w:r>
    </w:p>
    <w:p>
      <w:r>
        <w:t>The sending mailbox (</w:t>
      </w:r>
      <w:r>
        <w:rPr>
          <w:rFonts w:ascii="Consolas" w:hAnsi="Consolas"/>
          <w:color w:val="B31D28"/>
          <w:sz w:val="19"/>
        </w:rPr>
        <w:t>bcsdashboard1@gmail.com</w:t>
      </w:r>
      <w:r>
        <w:t xml:space="preserve">) is new and has no sending "reputation" yet. One test email took noticeably longer than usual to arrive at </w:t>
      </w:r>
      <w:r>
        <w:rPr>
          <w:rFonts w:ascii="Consolas" w:hAnsi="Consolas"/>
          <w:color w:val="B31D28"/>
          <w:sz w:val="19"/>
        </w:rPr>
        <w:t>erikweegenaar@nl.ibm.com</w:t>
      </w:r>
      <w:r>
        <w:t xml:space="preserve"> (delivered, but delayed). This is expected to improve over the next few weeks of normal weekly sending as the sending address builds reputation, but if it becomes a persistent problem, consider:</w:t>
      </w:r>
    </w:p>
    <w:p>
      <w:pPr>
        <w:pStyle w:val="ListBullet"/>
      </w:pPr>
      <w:r>
        <w:t>Switching the SMTP relay to a transactional email service (e.g. SendGrid, Mailgun) instead of Gmail, or</w:t>
      </w:r>
    </w:p>
    <w:p>
      <w:pPr>
        <w:pStyle w:val="ListBullet"/>
      </w:pPr>
      <w:r>
        <w:t xml:space="preserve">Asking IBM Mail security/postmaster team to allow-list </w:t>
      </w:r>
      <w:r>
        <w:rPr>
          <w:rFonts w:ascii="Consolas" w:hAnsi="Consolas"/>
          <w:color w:val="B31D28"/>
          <w:sz w:val="19"/>
        </w:rPr>
        <w:t>bcsdashboard1@gmail.com</w:t>
      </w:r>
      <w:r>
        <w:t>.</w:t>
      </w:r>
    </w:p>
    <w:p>
      <w:pPr>
        <w:pStyle w:val="Heading2"/>
      </w:pPr>
      <w:r>
        <w:rPr>
          <w:color w:val="161616"/>
        </w:rPr>
        <w:t>7.4 "Command"/"Arguments" trap in Code Engine UI</w:t>
      </w:r>
    </w:p>
    <w:p>
      <w:r>
        <w:t xml:space="preserve">Worth flagging for future maintainers: Code Engine's Job creation screen has an </w:t>
      </w:r>
      <w:r>
        <w:rPr>
          <w:b/>
        </w:rPr>
        <w:t>"Environment variables"</w:t>
      </w:r>
      <w:r>
        <w:t xml:space="preserve"> section where it is easy to accidentally create </w:t>
      </w:r>
      <w:r>
        <w:rPr>
          <w:i/>
        </w:rPr>
        <w:t>literal environment variables</w:t>
      </w:r>
      <w:r>
        <w:t xml:space="preserve"> named </w:t>
      </w:r>
      <w:r>
        <w:rPr>
          <w:rFonts w:ascii="Consolas" w:hAnsi="Consolas"/>
          <w:color w:val="B31D28"/>
          <w:sz w:val="19"/>
        </w:rPr>
        <w:t>Command</w:t>
      </w:r>
      <w:r>
        <w:t xml:space="preserve"> and </w:t>
      </w:r>
      <w:r>
        <w:rPr>
          <w:rFonts w:ascii="Consolas" w:hAnsi="Consolas"/>
          <w:color w:val="B31D28"/>
          <w:sz w:val="19"/>
        </w:rPr>
        <w:t>Arguments</w:t>
      </w:r>
      <w:r>
        <w:t xml:space="preserve"> (which do nothing). The actual, functional setting is a </w:t>
      </w:r>
      <w:r>
        <w:rPr>
          <w:b/>
        </w:rPr>
        <w:t>separate</w:t>
      </w:r>
      <w:r>
        <w:t xml:space="preserve"> section called </w:t>
      </w:r>
      <w:r>
        <w:rPr>
          <w:b/>
        </w:rPr>
        <w:t>"Image start options"</w:t>
      </w:r>
      <w:r>
        <w:t xml:space="preserve">, further down the left-hand menu once editing a Job. If a Job ever shows </w:t>
      </w:r>
      <w:r>
        <w:rPr>
          <w:rFonts w:ascii="Consolas" w:hAnsi="Consolas"/>
          <w:color w:val="B31D28"/>
          <w:sz w:val="19"/>
        </w:rPr>
        <w:t>Succeeded</w:t>
      </w:r>
      <w:r>
        <w:t xml:space="preserve"> in just 1-2 seconds with no email arriving, this misconfiguration is the first thing to check.</w:t>
      </w:r>
    </w:p>
    <w:p>
      <w:pPr>
        <w:pStyle w:val="Heading2"/>
      </w:pPr>
      <w:r>
        <w:rPr>
          <w:color w:val="161616"/>
        </w:rPr>
        <w:t>7.5 Single recipient only</w:t>
      </w:r>
    </w:p>
    <w:p>
      <w:r>
        <w:t>The current script (</w:t>
      </w:r>
      <w:r>
        <w:rPr>
          <w:rFonts w:ascii="Consolas" w:hAnsi="Consolas"/>
          <w:color w:val="B31D28"/>
          <w:sz w:val="19"/>
        </w:rPr>
        <w:t>REPORT_RECIPIENT</w:t>
      </w:r>
      <w:r>
        <w:t xml:space="preserve"> in the secret) supports exactly one email address. See §8.2 for how to extend to multiple recipients if needed.</w:t>
      </w:r>
    </w:p>
    <w:p/>
    <w:p>
      <w:pPr>
        <w:pStyle w:val="Heading1"/>
      </w:pPr>
      <w:r>
        <w:rPr>
          <w:color w:val="0F62FE"/>
        </w:rPr>
        <w:t>8. Possible future improvements (not started)</w:t>
      </w:r>
    </w:p>
    <w:p>
      <w:pPr>
        <w:pStyle w:val="ListNumber"/>
      </w:pPr>
      <w:r>
        <w:rPr>
          <w:b/>
        </w:rPr>
        <w:t>Finish the Red Hat OpenShift live-data integration</w:t>
      </w:r>
      <w:r>
        <w:t xml:space="preserve"> — see §6 in full above. This is the most valuable next step; it would eliminate the 213 "Manual" rows and keep cluster linkage current automatically.</w:t>
      </w:r>
    </w:p>
    <w:p>
      <w:pPr>
        <w:pStyle w:val="ListNumber"/>
      </w:pPr>
      <w:r>
        <w:rPr>
          <w:b/>
        </w:rPr>
        <w:t>Support multiple recipients.</w:t>
      </w:r>
      <w:r>
        <w:t xml:space="preserve"> Change </w:t>
      </w:r>
      <w:r>
        <w:rPr>
          <w:rFonts w:ascii="Consolas" w:hAnsi="Consolas"/>
          <w:color w:val="B31D28"/>
          <w:sz w:val="19"/>
        </w:rPr>
        <w:t>REPORT_RECIPIENT</w:t>
      </w:r>
      <w:r>
        <w:t xml:space="preserve"> to accept a comma-separated list, and update </w:t>
      </w:r>
      <w:r>
        <w:rPr>
          <w:rFonts w:ascii="Consolas" w:hAnsi="Consolas"/>
          <w:color w:val="B31D28"/>
          <w:sz w:val="19"/>
        </w:rPr>
        <w:t>send_report_email.py</w:t>
      </w:r>
      <w:r>
        <w:t xml:space="preserve"> to split and loop over addresses (or use the </w:t>
      </w:r>
      <w:r>
        <w:rPr>
          <w:rFonts w:ascii="Consolas" w:hAnsi="Consolas"/>
          <w:color w:val="B31D28"/>
          <w:sz w:val="19"/>
        </w:rPr>
        <w:t>To:</w:t>
      </w:r>
      <w:r>
        <w:t xml:space="preserve"> header's native comma-separated support, which most SMTP servers handle natively — minimal code change).</w:t>
      </w:r>
    </w:p>
    <w:p>
      <w:pPr>
        <w:pStyle w:val="ListNumber"/>
      </w:pPr>
      <w:r>
        <w:rPr>
          <w:b/>
        </w:rPr>
        <w:t>Switch logging to something that actually shows script output</w:t>
      </w:r>
      <w:r>
        <w:t xml:space="preserve"> (§7.2), so troubleshooting a failed run doesn't require manually re-running the script in Cloud Shell.</w:t>
      </w:r>
    </w:p>
    <w:p>
      <w:pPr>
        <w:pStyle w:val="ListNumber"/>
      </w:pPr>
      <w:r>
        <w:rPr>
          <w:b/>
        </w:rPr>
        <w:t>Consider a transactional email provider</w:t>
      </w:r>
      <w:r>
        <w:t xml:space="preserve"> instead of a personal Gmail account, for better deliverability and because it is a more standard/supportable pattern for a business process (§7.3).</w:t>
      </w:r>
    </w:p>
    <w:p>
      <w:pPr>
        <w:pStyle w:val="ListNumber"/>
      </w:pPr>
      <w:r>
        <w:rPr>
          <w:b/>
        </w:rPr>
        <w:t>Put the dashboard behind a shared location (e.g. Box)</w:t>
      </w:r>
      <w:r>
        <w:t xml:space="preserve"> in addition to emailing it, as originally discussed, so colleagues can access the latest version on demand rather than waiting for the weekly email — this was discussed early on but de-scoped in favor of getting the email pipeline working first.</w:t>
      </w:r>
    </w:p>
    <w:p/>
    <w:p>
      <w:pPr>
        <w:pStyle w:val="Heading1"/>
      </w:pPr>
      <w:r>
        <w:rPr>
          <w:color w:val="0F62FE"/>
        </w:rPr>
        <w:t>9. Quick reference — key file locations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F62FE"/>
          </w:tcPr>
          <w:p>
            <w:r/>
            <w:r>
              <w:rPr>
                <w:b/>
                <w:color w:val="FFFFFF"/>
                <w:sz w:val="19"/>
              </w:rPr>
              <w:t>File</w:t>
            </w:r>
          </w:p>
        </w:tc>
        <w:tc>
          <w:tcPr>
            <w:tcW w:type="dxa" w:w="4320"/>
            <w:shd w:val="clear" w:color="auto" w:fill="0F62FE"/>
          </w:tcPr>
          <w:p>
            <w:r/>
            <w:r>
              <w:rPr>
                <w:b/>
                <w:color w:val="FFFFFF"/>
                <w:sz w:val="19"/>
              </w:rPr>
              <w:t>Purpose</w:t>
            </w:r>
          </w:p>
        </w:tc>
      </w:tr>
      <w:tr>
        <w:tc>
          <w:tcPr>
            <w:tcW w:type="dxa" w:w="4320"/>
          </w:tcPr>
          <w:p>
            <w:r/>
            <w:r>
              <w:rPr>
                <w:sz w:val="19"/>
              </w:rPr>
              <w:t>automation/send_report_email.py</w:t>
            </w:r>
          </w:p>
        </w:tc>
        <w:tc>
          <w:tcPr>
            <w:tcW w:type="dxa" w:w="4320"/>
          </w:tcPr>
          <w:p>
            <w:r/>
            <w:r>
              <w:rPr>
                <w:sz w:val="19"/>
              </w:rPr>
              <w:t>Main script: builds the report, builds the dashboard attachment, sends the email</w:t>
            </w:r>
          </w:p>
        </w:tc>
      </w:tr>
      <w:tr>
        <w:tc>
          <w:tcPr>
            <w:tcW w:type="dxa" w:w="4320"/>
          </w:tcPr>
          <w:p>
            <w:r/>
            <w:r>
              <w:rPr>
                <w:sz w:val="19"/>
              </w:rPr>
              <w:t>automation/build_dashboard_attachment.py</w:t>
            </w:r>
          </w:p>
        </w:tc>
        <w:tc>
          <w:tcPr>
            <w:tcW w:type="dxa" w:w="4320"/>
          </w:tcPr>
          <w:p>
            <w:r/>
            <w:r>
              <w:rPr>
                <w:sz w:val="19"/>
              </w:rPr>
              <w:t>Assembles the full interactive dashboard HTML from the shell templates + JSON data</w:t>
            </w:r>
          </w:p>
        </w:tc>
      </w:tr>
      <w:tr>
        <w:tc>
          <w:tcPr>
            <w:tcW w:type="dxa" w:w="4320"/>
          </w:tcPr>
          <w:p>
            <w:r/>
            <w:r>
              <w:rPr>
                <w:sz w:val="19"/>
              </w:rPr>
              <w:t>automation/shell_part1.html / shell_part2.html / shell_part3.html</w:t>
            </w:r>
          </w:p>
        </w:tc>
        <w:tc>
          <w:tcPr>
            <w:tcW w:type="dxa" w:w="4320"/>
          </w:tcPr>
          <w:p>
            <w:r/>
            <w:r>
              <w:rPr>
                <w:sz w:val="19"/>
              </w:rPr>
              <w:t>The three pieces of the dashboard HTML template (head/style, tab structure, script logic)</w:t>
            </w:r>
          </w:p>
        </w:tc>
      </w:tr>
      <w:tr>
        <w:tc>
          <w:tcPr>
            <w:tcW w:type="dxa" w:w="4320"/>
          </w:tcPr>
          <w:p>
            <w:r/>
            <w:r>
              <w:rPr>
                <w:sz w:val="19"/>
              </w:rPr>
              <w:t>automation/merged_resources_live.json</w:t>
            </w:r>
          </w:p>
        </w:tc>
        <w:tc>
          <w:tcPr>
            <w:tcW w:type="dxa" w:w="4320"/>
          </w:tcPr>
          <w:p>
            <w:r/>
            <w:r>
              <w:rPr>
                <w:sz w:val="19"/>
              </w:rPr>
              <w:t>The 540-row dataset (327 live + 213 manual)</w:t>
            </w:r>
          </w:p>
        </w:tc>
      </w:tr>
      <w:tr>
        <w:tc>
          <w:tcPr>
            <w:tcW w:type="dxa" w:w="4320"/>
          </w:tcPr>
          <w:p>
            <w:r/>
            <w:r>
              <w:rPr>
                <w:sz w:val="19"/>
              </w:rPr>
              <w:t>automation/ocp_environments.json</w:t>
            </w:r>
          </w:p>
        </w:tc>
        <w:tc>
          <w:tcPr>
            <w:tcW w:type="dxa" w:w="4320"/>
          </w:tcPr>
          <w:p>
            <w:r/>
            <w:r>
              <w:rPr>
                <w:sz w:val="19"/>
              </w:rPr>
              <w:t>OpenShift cluster summary data (from the manual export)</w:t>
            </w:r>
          </w:p>
        </w:tc>
      </w:tr>
      <w:tr>
        <w:tc>
          <w:tcPr>
            <w:tcW w:type="dxa" w:w="4320"/>
          </w:tcPr>
          <w:p>
            <w:r/>
            <w:r>
              <w:rPr>
                <w:sz w:val="19"/>
              </w:rPr>
              <w:t>automation/lpar_servers.json</w:t>
            </w:r>
          </w:p>
        </w:tc>
        <w:tc>
          <w:tcPr>
            <w:tcW w:type="dxa" w:w="4320"/>
          </w:tcPr>
          <w:p>
            <w:r/>
            <w:r>
              <w:rPr>
                <w:sz w:val="19"/>
              </w:rPr>
              <w:t>Physical host (LPAR) data (from the manual export)</w:t>
            </w:r>
          </w:p>
        </w:tc>
      </w:tr>
      <w:tr>
        <w:tc>
          <w:tcPr>
            <w:tcW w:type="dxa" w:w="4320"/>
          </w:tcPr>
          <w:p>
            <w:r/>
            <w:r>
              <w:rPr>
                <w:sz w:val="19"/>
              </w:rPr>
              <w:t>automation/action_items_live.json</w:t>
            </w:r>
          </w:p>
        </w:tc>
        <w:tc>
          <w:tcPr>
            <w:tcW w:type="dxa" w:w="4320"/>
          </w:tcPr>
          <w:p>
            <w:r/>
            <w:r>
              <w:rPr>
                <w:sz w:val="19"/>
              </w:rPr>
              <w:t>Precomputed "Action Needed" data (warning servers, near-empty environments)</w:t>
            </w:r>
          </w:p>
        </w:tc>
      </w:tr>
      <w:tr>
        <w:tc>
          <w:tcPr>
            <w:tcW w:type="dxa" w:w="4320"/>
          </w:tcPr>
          <w:p>
            <w:r/>
            <w:r>
              <w:rPr>
                <w:sz w:val="19"/>
              </w:rPr>
              <w:t>automation/environment_rules.csv</w:t>
            </w:r>
          </w:p>
        </w:tc>
        <w:tc>
          <w:tcPr>
            <w:tcW w:type="dxa" w:w="4320"/>
          </w:tcPr>
          <w:p>
            <w:r/>
            <w:r>
              <w:rPr>
                <w:sz w:val="19"/>
              </w:rPr>
              <w:t>Human-editable pattern table mapping resource names → Environment labels</w:t>
            </w:r>
          </w:p>
        </w:tc>
      </w:tr>
      <w:tr>
        <w:tc>
          <w:tcPr>
            <w:tcW w:type="dxa" w:w="4320"/>
          </w:tcPr>
          <w:p>
            <w:r/>
            <w:r>
              <w:rPr>
                <w:sz w:val="19"/>
              </w:rPr>
              <w:t>automation/build_manual_supplement.py</w:t>
            </w:r>
          </w:p>
        </w:tc>
        <w:tc>
          <w:tcPr>
            <w:tcW w:type="dxa" w:w="4320"/>
          </w:tcPr>
          <w:p>
            <w:r/>
            <w:r>
              <w:rPr>
                <w:sz w:val="19"/>
              </w:rPr>
              <w:t>Merges the 213 manual rows into the live 327-row dataset</w:t>
            </w:r>
          </w:p>
        </w:tc>
      </w:tr>
      <w:tr>
        <w:tc>
          <w:tcPr>
            <w:tcW w:type="dxa" w:w="4320"/>
          </w:tcPr>
          <w:p>
            <w:r/>
            <w:r>
              <w:rPr>
                <w:sz w:val="19"/>
              </w:rPr>
              <w:t>requirements.txt</w:t>
            </w:r>
          </w:p>
        </w:tc>
        <w:tc>
          <w:tcPr>
            <w:tcW w:type="dxa" w:w="4320"/>
          </w:tcPr>
          <w:p>
            <w:r/>
            <w:r>
              <w:rPr>
                <w:sz w:val="19"/>
              </w:rPr>
              <w:t>Empty on purpose — signals to Code Engine's buildpack that this is a Python project; no external packages are required</w:t>
            </w:r>
          </w:p>
        </w:tc>
      </w:tr>
      <w:tr>
        <w:tc>
          <w:tcPr>
            <w:tcW w:type="dxa" w:w="4320"/>
          </w:tcPr>
          <w:p>
            <w:r/>
            <w:r>
              <w:rPr>
                <w:sz w:val="19"/>
              </w:rPr>
              <w:t>GitHub repo root</w:t>
            </w:r>
          </w:p>
        </w:tc>
        <w:tc>
          <w:tcPr>
            <w:tcW w:type="dxa" w:w="4320"/>
          </w:tcPr>
          <w:p>
            <w:r/>
            <w:r>
              <w:rPr>
                <w:sz w:val="19"/>
              </w:rPr>
              <w:t>github.com/ErikWeegenaar/powervs-rapportage</w:t>
            </w:r>
          </w:p>
        </w:tc>
      </w:tr>
    </w:tbl>
    <w:p/>
    <w:p/>
    <w:p>
      <w:pPr>
        <w:pStyle w:val="Heading1"/>
      </w:pPr>
      <w:r>
        <w:rPr>
          <w:color w:val="0F62FE"/>
        </w:rPr>
        <w:t>10. Who to contact</w:t>
      </w:r>
    </w:p>
    <w:p>
      <w:pPr>
        <w:pStyle w:val="ListBullet"/>
      </w:pPr>
      <w:r>
        <w:rPr>
          <w:b/>
        </w:rPr>
        <w:t>Business owner / original requester:</w:t>
      </w:r>
      <w:r>
        <w:t xml:space="preserve"> Erik Weegenaar (erikweegenaar@nl.ibm.com)</w:t>
      </w:r>
    </w:p>
    <w:p>
      <w:pPr>
        <w:pStyle w:val="ListBullet"/>
      </w:pPr>
      <w:r>
        <w:rPr>
          <w:b/>
        </w:rPr>
        <w:t>Network/VPN access request (Red Hat Console work, §6):</w:t>
      </w:r>
      <w:r>
        <w:t xml:space="preserve"> Arsalan, George de Bouter, Frank van der Lee (Schiphol); Kim van der Linden / Leon van der Ham (Conscia) — per the iCDNet Lite Service Standards document</w:t>
      </w:r>
    </w:p>
    <w:p>
      <w:pPr>
        <w:pStyle w:val="ListBullet"/>
      </w:pPr>
      <w:r>
        <w:rPr>
          <w:b/>
        </w:rPr>
        <w:t>IBM Cloud account:</w:t>
      </w:r>
      <w:r>
        <w:t xml:space="preserve"> GBS c/o Schiphol, account ID </w:t>
      </w:r>
      <w:r>
        <w:rPr>
          <w:rFonts w:ascii="Consolas" w:hAnsi="Consolas"/>
          <w:color w:val="B31D28"/>
          <w:sz w:val="19"/>
        </w:rPr>
        <w:t>2330274</w:t>
      </w:r>
      <w:r>
        <w:t xml:space="preserve"> / </w:t>
      </w:r>
      <w:r>
        <w:rPr>
          <w:rFonts w:ascii="Consolas" w:hAnsi="Consolas"/>
          <w:color w:val="B31D28"/>
          <w:sz w:val="19"/>
        </w:rPr>
        <w:t>27de50c300594fa7ad9af88d3ab3e5f8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