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367EFC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4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367EFC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Sr./Sra.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 xml:space="preserve">ARROCERA  LOS CORRALES, S.A.    </w:t>
      </w:r>
    </w:p>
    <w:p w:rsidR="001D5735" w:rsidRDefault="00367EFC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5 Avenida Final 4-84, Zona 4  Col. Venecia II, Villa Nueva </w:t>
      </w:r>
    </w:p>
    <w:p w:rsidR="00DA67D7" w:rsidRDefault="00367EFC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01064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367EFC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367EFC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P-454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367EFC">
        <w:rPr>
          <w:rFonts w:ascii="Arial" w:hAnsi="Arial" w:cs="Arial"/>
          <w:color w:val="212121"/>
          <w:sz w:val="23"/>
          <w:szCs w:val="23"/>
        </w:rPr>
        <w:t>Mariana</w:t>
      </w:r>
    </w:p>
    <w:p w:rsidR="007C1A67" w:rsidRDefault="00367EFC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corr.29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367EFC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2016-10-04T20:14:00Z</dcterms:created>
  <dcterms:modified xsi:type="dcterms:W3CDTF">2016-10-04T20:14:00Z</dcterms:modified>
</cp:coreProperties>
</file>