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496AA8">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496AA8">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496AA8">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D94AD2">
      <w:pPr>
        <w:pStyle w:val="SemEspaamento"/>
        <w:spacing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Global Strategy for Human Resources for Health: Workforce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D94AD2">
      <w:pPr>
        <w:pStyle w:val="SemEspaamento"/>
        <w:spacing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1"/>
      <w:r w:rsidR="00D36EEF">
        <w:rPr>
          <w:rFonts w:ascii="Montserrat" w:hAnsi="Montserrat"/>
          <w:sz w:val="20"/>
          <w:szCs w:val="20"/>
        </w:rPr>
        <w:t xml:space="preserve">que </w:t>
      </w:r>
      <w:r w:rsidR="00D36EEF" w:rsidRPr="00E47210">
        <w:rPr>
          <w:rFonts w:ascii="Montserrat" w:hAnsi="Montserrat"/>
          <w:sz w:val="20"/>
          <w:szCs w:val="20"/>
          <w:highlight w:val="yellow"/>
        </w:rPr>
        <w:t>resultou em um compêndio de xx indicadores das dimensões xxx. Como exemplo de indicadores temos: a</w:t>
      </w:r>
      <w:del w:id="2" w:author="HENRIQUE RIBEIRO DA SILVEIRA" w:date="2024-11-05T13:46:00Z">
        <w:r w:rsidR="00D36EEF" w:rsidRPr="00E47210" w:rsidDel="00D7294F">
          <w:rPr>
            <w:rFonts w:ascii="Montserrat" w:hAnsi="Montserrat"/>
            <w:sz w:val="20"/>
            <w:szCs w:val="20"/>
            <w:highlight w:val="yellow"/>
          </w:rPr>
          <w:delText>)</w:delText>
        </w:r>
      </w:del>
      <w:ins w:id="3"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ins w:id="4" w:author="HENRIQUE RIBEIRO DA SILVEIRA" w:date="2024-11-05T13:46:00Z">
        <w:r w:rsidR="00D7294F">
          <w:rPr>
            <w:rFonts w:ascii="Montserrat" w:hAnsi="Montserrat"/>
            <w:sz w:val="20"/>
            <w:szCs w:val="20"/>
            <w:highlight w:val="yellow"/>
          </w:rPr>
          <w:t>precarização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1"/>
      <w:r w:rsidR="003F6595">
        <w:rPr>
          <w:rStyle w:val="Refdecomentrio"/>
        </w:rPr>
        <w:commentReference w:id="1"/>
      </w:r>
    </w:p>
    <w:p w14:paraId="00B525C2" w14:textId="36B5B516" w:rsidR="00D36EEF" w:rsidRDefault="00D36EEF" w:rsidP="00D94AD2">
      <w:pPr>
        <w:pStyle w:val="SemEspaamento"/>
        <w:spacing w:line="360" w:lineRule="auto"/>
        <w:ind w:firstLine="851"/>
        <w:jc w:val="both"/>
        <w:rPr>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Pr>
          <w:rFonts w:ascii="Montserrat" w:hAnsi="Montserrat"/>
          <w:sz w:val="20"/>
          <w:szCs w:val="20"/>
        </w:rPr>
        <w:t xml:space="preserve">saúde </w:t>
      </w:r>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E47210">
            <w:rPr>
              <w:rFonts w:ascii="Montserrat" w:hAnsi="Montserrat"/>
              <w:color w:val="000000"/>
              <w:sz w:val="20"/>
              <w:szCs w:val="20"/>
              <w:vertAlign w:val="superscript"/>
            </w:rPr>
            <w:t>7</w:t>
          </w:r>
        </w:sdtContent>
      </w:sdt>
      <w:r>
        <w:rPr>
          <w:rFonts w:ascii="Montserrat" w:hAnsi="Montserrat"/>
          <w:sz w:val="20"/>
          <w:szCs w:val="20"/>
        </w:rPr>
        <w:t xml:space="preserve">. </w:t>
      </w:r>
      <w:commentRangeEnd w:id="5"/>
      <w:r w:rsidR="00E47210">
        <w:rPr>
          <w:rStyle w:val="Refdecomentrio"/>
        </w:rPr>
        <w:commentReference w:id="5"/>
      </w:r>
    </w:p>
    <w:p w14:paraId="014A8130" w14:textId="6BF3420B" w:rsidR="00D36EEF" w:rsidRDefault="00E47210" w:rsidP="00D94AD2">
      <w:pPr>
        <w:pStyle w:val="SemEspaamento"/>
        <w:spacing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6" w:name="_Toc181700708"/>
      <w:r w:rsidRPr="004A3585">
        <w:rPr>
          <w:rFonts w:ascii="Montserrat" w:hAnsi="Montserrat"/>
          <w:b/>
          <w:bCs/>
          <w:color w:val="auto"/>
        </w:rPr>
        <w:lastRenderedPageBreak/>
        <w:t>Ficha de in</w:t>
      </w:r>
      <w:r w:rsidR="004A3585">
        <w:rPr>
          <w:rFonts w:ascii="Montserrat" w:hAnsi="Montserrat"/>
          <w:b/>
          <w:bCs/>
          <w:color w:val="auto"/>
        </w:rPr>
        <w:t>dicador</w:t>
      </w:r>
      <w:bookmarkEnd w:id="6"/>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77777777" w:rsidR="0078205E" w:rsidRPr="00DB6E59" w:rsidRDefault="0078205E" w:rsidP="004A3585">
            <w:pPr>
              <w:pStyle w:val="QuadrosFiguras1"/>
              <w:spacing w:before="60" w:after="60" w:line="240" w:lineRule="auto"/>
              <w:jc w:val="left"/>
              <w:rPr>
                <w:b/>
                <w:bCs/>
                <w:sz w:val="22"/>
                <w:szCs w:val="24"/>
              </w:rPr>
            </w:pPr>
            <w:r w:rsidRPr="00245E76">
              <w:rPr>
                <w:b/>
                <w:bCs/>
                <w:sz w:val="22"/>
                <w:szCs w:val="24"/>
              </w:rPr>
              <w:t>Distribuição dos tipos de vínculos de profissionais</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r>
              <w:t xml:space="preserve">Microdados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Instituição: Ministério da Saúde, disponibilizado via Datasus.</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lastRenderedPageBreak/>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de apoio diagnose e terapia (sadt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r>
              <w:t xml:space="preserve">doi: </w:t>
            </w:r>
            <w:hyperlink r:id="rId15"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7" w:author="HENRIQUE RIBEIRO DA SILVEIRA" w:date="2024-11-05T13:48:00Z"/>
          <w:rFonts w:ascii="Montserrat" w:hAnsi="Montserrat"/>
        </w:rPr>
      </w:pPr>
      <w:ins w:id="8" w:author="HENRIQUE RIBEIRO DA SILVEIRA" w:date="2024-11-05T13:48:00Z">
        <w:r>
          <w:rPr>
            <w:rFonts w:ascii="Montserrat" w:hAnsi="Montserrat"/>
          </w:rPr>
          <w:t>Artefatos:</w:t>
        </w:r>
      </w:ins>
    </w:p>
    <w:p w14:paraId="3FBCB999" w14:textId="77777777" w:rsidR="00D7294F" w:rsidRDefault="00D7294F" w:rsidP="00D7294F">
      <w:pPr>
        <w:pStyle w:val="PargrafodaLista"/>
        <w:rPr>
          <w:ins w:id="9" w:author="HENRIQUE RIBEIRO DA SILVEIRA" w:date="2024-11-05T13:48:00Z"/>
          <w:rFonts w:ascii="Montserrat" w:hAnsi="Montserrat"/>
        </w:rPr>
        <w:pPrChange w:id="10"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11"/>
      <w:r w:rsidRPr="003F6595">
        <w:rPr>
          <w:rFonts w:ascii="Montserrat" w:hAnsi="Montserrat"/>
        </w:rPr>
        <w:t xml:space="preserve">Para acessar a </w:t>
      </w:r>
      <w:commentRangeStart w:id="12"/>
      <w:r w:rsidRPr="003F6595">
        <w:rPr>
          <w:rFonts w:ascii="Montserrat" w:hAnsi="Montserrat"/>
        </w:rPr>
        <w:t xml:space="preserve">consulta SQL </w:t>
      </w:r>
      <w:commentRangeEnd w:id="12"/>
      <w:r w:rsidR="009E5CEE">
        <w:rPr>
          <w:rStyle w:val="Refdecomentrio"/>
        </w:rPr>
        <w:commentReference w:id="12"/>
      </w:r>
      <w:r w:rsidRPr="003F6595">
        <w:rPr>
          <w:rFonts w:ascii="Montserrat" w:hAnsi="Montserrat"/>
        </w:rPr>
        <w:t xml:space="preserve">que foi usada para a construção do indicador, acesse </w:t>
      </w:r>
      <w:ins w:id="13"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14"/>
      <w:r w:rsidRPr="003F6595">
        <w:rPr>
          <w:rFonts w:ascii="Montserrat" w:hAnsi="Montserrat"/>
        </w:rPr>
        <w:t>aqui</w:t>
      </w:r>
      <w:commentRangeEnd w:id="14"/>
      <w:r w:rsidR="00D7294F">
        <w:rPr>
          <w:rStyle w:val="Refdecomentrio"/>
        </w:rPr>
        <w:commentReference w:id="14"/>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lastRenderedPageBreak/>
        <w:t xml:space="preserve">Para acessar o dashboard interativo, acesse aqui. </w:t>
      </w:r>
      <w:commentRangeEnd w:id="11"/>
      <w:r w:rsidRPr="003F6595">
        <w:rPr>
          <w:rStyle w:val="Refdecomentrio"/>
          <w:rFonts w:ascii="Montserrat" w:hAnsi="Montserrat"/>
        </w:rPr>
        <w:commentReference w:id="11"/>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15" w:name="_Toc181700709"/>
      <w:r>
        <w:rPr>
          <w:rFonts w:ascii="Montserrat" w:hAnsi="Montserrat"/>
          <w:b/>
          <w:bCs/>
          <w:color w:val="auto"/>
        </w:rPr>
        <w:t>Exemplo de aplicação</w:t>
      </w:r>
      <w:bookmarkEnd w:id="15"/>
    </w:p>
    <w:p w14:paraId="0824521B" w14:textId="746E7833" w:rsidR="0078205E" w:rsidRDefault="0078205E" w:rsidP="0078205E">
      <w:pPr>
        <w:ind w:left="-1701"/>
        <w:jc w:val="center"/>
      </w:pPr>
    </w:p>
    <w:p w14:paraId="14E35D6E" w14:textId="16B651E1" w:rsidR="00D94AD2" w:rsidRDefault="00D94AD2" w:rsidP="00D94AD2">
      <w:pPr>
        <w:pStyle w:val="SemEspaamento"/>
        <w:spacing w:line="360" w:lineRule="auto"/>
        <w:ind w:firstLine="851"/>
        <w:jc w:val="both"/>
        <w:rPr>
          <w:rFonts w:ascii="Montserrat" w:hAnsi="Montserrat"/>
          <w:sz w:val="20"/>
          <w:szCs w:val="20"/>
        </w:rPr>
      </w:pPr>
      <w:r>
        <w:rPr>
          <w:rFonts w:ascii="Montserrat" w:hAnsi="Montserrat"/>
          <w:sz w:val="20"/>
          <w:szCs w:val="20"/>
        </w:rPr>
        <w:t xml:space="preserve">A figura 1 ilustra </w:t>
      </w:r>
      <w:r w:rsidR="00666086">
        <w:rPr>
          <w:rFonts w:ascii="Montserrat" w:hAnsi="Montserrat"/>
          <w:sz w:val="20"/>
          <w:szCs w:val="20"/>
        </w:rPr>
        <w:t xml:space="preserve">o exemplo de aplicação para </w:t>
      </w:r>
      <w:del w:id="16" w:author="HENRIQUE RIBEIRO DA SILVEIRA" w:date="2024-11-05T13:53:00Z">
        <w:r w:rsidR="00666086" w:rsidDel="004E0F3E">
          <w:rPr>
            <w:rFonts w:ascii="Montserrat" w:hAnsi="Montserrat"/>
            <w:sz w:val="20"/>
            <w:szCs w:val="20"/>
          </w:rPr>
          <w:delText xml:space="preserve">do </w:delText>
        </w:r>
      </w:del>
      <w:ins w:id="17" w:author="HENRIQUE RIBEIRO DA SILVEIRA" w:date="2024-11-05T13:53:00Z">
        <w:r w:rsidR="004E0F3E">
          <w:rPr>
            <w:rFonts w:ascii="Montserrat" w:hAnsi="Montserrat"/>
            <w:sz w:val="20"/>
            <w:szCs w:val="20"/>
          </w:rPr>
          <w:t xml:space="preserve">o </w:t>
        </w:r>
      </w:ins>
      <w:r w:rsidR="00666086">
        <w:rPr>
          <w:rFonts w:ascii="Montserrat" w:hAnsi="Montserrat"/>
          <w:sz w:val="20"/>
          <w:szCs w:val="20"/>
        </w:rPr>
        <w:t xml:space="preserve">indicador, considerando um recorte para </w:t>
      </w:r>
      <w:r w:rsidR="001239B3">
        <w:rPr>
          <w:rFonts w:ascii="Montserrat" w:hAnsi="Montserrat"/>
          <w:sz w:val="20"/>
          <w:szCs w:val="20"/>
        </w:rPr>
        <w:t xml:space="preserve">vínculos profissionais de </w:t>
      </w:r>
      <w:r w:rsidR="00666086">
        <w:rPr>
          <w:rFonts w:ascii="Montserrat" w:hAnsi="Montserrat"/>
          <w:sz w:val="20"/>
          <w:szCs w:val="20"/>
        </w:rPr>
        <w:t>enfermeiros, no ano de 2024</w:t>
      </w:r>
      <w:r w:rsidR="001239B3">
        <w:rPr>
          <w:rFonts w:ascii="Montserrat" w:hAnsi="Montserrat"/>
          <w:sz w:val="20"/>
          <w:szCs w:val="20"/>
        </w:rPr>
        <w:t xml:space="preserve">, em </w:t>
      </w:r>
      <w:del w:id="18" w:author="HENRIQUE RIBEIRO DA SILVEIRA" w:date="2024-11-05T13:53:00Z">
        <w:r w:rsidR="001239B3" w:rsidDel="004E0F3E">
          <w:rPr>
            <w:rFonts w:ascii="Montserrat" w:hAnsi="Montserrat"/>
            <w:sz w:val="20"/>
            <w:szCs w:val="20"/>
          </w:rPr>
          <w:delText xml:space="preserve">organizações </w:delText>
        </w:r>
      </w:del>
      <w:ins w:id="19" w:author="HENRIQUE RIBEIRO DA SILVEIRA" w:date="2024-11-05T13:53:00Z">
        <w:r w:rsidR="004E0F3E">
          <w:rPr>
            <w:rFonts w:ascii="Montserrat" w:hAnsi="Montserrat"/>
            <w:sz w:val="20"/>
            <w:szCs w:val="20"/>
          </w:rPr>
          <w:t>estabeleci</w:t>
        </w:r>
      </w:ins>
      <w:ins w:id="20" w:author="HENRIQUE RIBEIRO DA SILVEIRA" w:date="2024-11-05T13:54:00Z">
        <w:r w:rsidR="004E0F3E">
          <w:rPr>
            <w:rFonts w:ascii="Montserrat" w:hAnsi="Montserrat"/>
            <w:sz w:val="20"/>
            <w:szCs w:val="20"/>
          </w:rPr>
          <w:t>mentos</w:t>
        </w:r>
      </w:ins>
      <w:ins w:id="21" w:author="HENRIQUE RIBEIRO DA SILVEIRA" w:date="2024-11-05T13:53:00Z">
        <w:r w:rsidR="004E0F3E">
          <w:rPr>
            <w:rFonts w:ascii="Montserrat" w:hAnsi="Montserrat"/>
            <w:sz w:val="20"/>
            <w:szCs w:val="20"/>
          </w:rPr>
          <w:t xml:space="preserve"> </w:t>
        </w:r>
      </w:ins>
      <w:r w:rsidR="001239B3">
        <w:rPr>
          <w:rFonts w:ascii="Montserrat" w:hAnsi="Montserrat"/>
          <w:sz w:val="20"/>
          <w:szCs w:val="20"/>
        </w:rPr>
        <w:t xml:space="preserve">da atenção primária à saúde (APS). Observa-se que há menor proporção de vínculos classificados como precários no Sul e Sudeste, comparando-se aos municípios das demais localidades. </w:t>
      </w:r>
    </w:p>
    <w:p w14:paraId="4D0624AD" w14:textId="7FB9ED44" w:rsidR="0078205E" w:rsidRDefault="0078205E" w:rsidP="004A3585">
      <w:pPr>
        <w:ind w:left="-1701"/>
      </w:pPr>
    </w:p>
    <w:p w14:paraId="3FCFECDE" w14:textId="08051CDC" w:rsidR="00D94AD2" w:rsidRPr="00D94AD2" w:rsidRDefault="00D94AD2" w:rsidP="00D94AD2">
      <w:pPr>
        <w:pStyle w:val="Legenda"/>
        <w:keepNext/>
        <w:rPr>
          <w:rFonts w:ascii="Montserrat" w:hAnsi="Montserrat"/>
          <w:i w:val="0"/>
          <w:iCs w:val="0"/>
          <w:color w:val="auto"/>
        </w:rPr>
      </w:pPr>
      <w:r w:rsidRPr="00D94AD2">
        <w:rPr>
          <w:rFonts w:ascii="Montserrat" w:hAnsi="Montserrat"/>
          <w:i w:val="0"/>
          <w:iCs w:val="0"/>
          <w:color w:val="auto"/>
        </w:rPr>
        <w:t xml:space="preserve">Figura </w:t>
      </w:r>
      <w:r w:rsidRPr="00D94AD2">
        <w:rPr>
          <w:rFonts w:ascii="Montserrat" w:hAnsi="Montserrat"/>
          <w:i w:val="0"/>
          <w:iCs w:val="0"/>
          <w:color w:val="auto"/>
        </w:rPr>
        <w:fldChar w:fldCharType="begin"/>
      </w:r>
      <w:r w:rsidRPr="00D94AD2">
        <w:rPr>
          <w:rFonts w:ascii="Montserrat" w:hAnsi="Montserrat"/>
          <w:i w:val="0"/>
          <w:iCs w:val="0"/>
          <w:color w:val="auto"/>
        </w:rPr>
        <w:instrText xml:space="preserve"> SEQ Figura \* ARABIC </w:instrText>
      </w:r>
      <w:r w:rsidRPr="00D94AD2">
        <w:rPr>
          <w:rFonts w:ascii="Montserrat" w:hAnsi="Montserrat"/>
          <w:i w:val="0"/>
          <w:iCs w:val="0"/>
          <w:color w:val="auto"/>
        </w:rPr>
        <w:fldChar w:fldCharType="separate"/>
      </w:r>
      <w:r w:rsidRPr="00D94AD2">
        <w:rPr>
          <w:rFonts w:ascii="Montserrat" w:hAnsi="Montserrat"/>
          <w:i w:val="0"/>
          <w:iCs w:val="0"/>
          <w:noProof/>
          <w:color w:val="auto"/>
        </w:rPr>
        <w:t>1</w:t>
      </w:r>
      <w:r w:rsidRPr="00D94AD2">
        <w:rPr>
          <w:rFonts w:ascii="Montserrat" w:hAnsi="Montserrat"/>
          <w:i w:val="0"/>
          <w:iCs w:val="0"/>
          <w:color w:val="auto"/>
        </w:rPr>
        <w:fldChar w:fldCharType="end"/>
      </w:r>
      <w:r w:rsidRPr="00D94AD2">
        <w:rPr>
          <w:rFonts w:ascii="Montserrat" w:hAnsi="Montserrat"/>
          <w:i w:val="0"/>
          <w:iCs w:val="0"/>
          <w:color w:val="auto"/>
        </w:rPr>
        <w:t xml:space="preserve"> - Distribuição de indicador por municípios</w:t>
      </w:r>
    </w:p>
    <w:p w14:paraId="1DC051F3" w14:textId="61A7B4D0" w:rsidR="00666086" w:rsidRDefault="00D94AD2" w:rsidP="009E5CEE">
      <w:pPr>
        <w:pStyle w:val="NormalWeb"/>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E67A119" w14:textId="1ABD7F3C" w:rsidR="009E5CEE" w:rsidRDefault="009E5CEE" w:rsidP="009E5CEE">
      <w:pPr>
        <w:pStyle w:val="SemEspaamento"/>
        <w:spacing w:line="360" w:lineRule="auto"/>
        <w:ind w:firstLine="851"/>
        <w:jc w:val="both"/>
        <w:rPr>
          <w:rFonts w:ascii="Montserrat" w:hAnsi="Montserrat"/>
          <w:sz w:val="20"/>
          <w:szCs w:val="20"/>
        </w:rPr>
      </w:pPr>
      <w:r>
        <w:rPr>
          <w:rFonts w:ascii="Montserrat" w:hAnsi="Montserrat"/>
          <w:sz w:val="20"/>
          <w:szCs w:val="20"/>
        </w:rPr>
        <w:t xml:space="preserve">Para acessar o link do código que resultou no mapa, clique </w:t>
      </w:r>
      <w:hyperlink r:id="rId17" w:history="1">
        <w:r w:rsidRPr="009E5CEE">
          <w:rPr>
            <w:rStyle w:val="Hyperlink"/>
            <w:rFonts w:ascii="Montserrat" w:hAnsi="Montserrat"/>
            <w:sz w:val="20"/>
            <w:szCs w:val="20"/>
          </w:rPr>
          <w:t>aqui</w:t>
        </w:r>
      </w:hyperlink>
      <w:r>
        <w:rPr>
          <w:rFonts w:ascii="Montserrat" w:hAnsi="Montserrat"/>
          <w:sz w:val="20"/>
          <w:szCs w:val="20"/>
        </w:rPr>
        <w:t xml:space="preserve">. </w:t>
      </w:r>
    </w:p>
    <w:p w14:paraId="0D2D1F03" w14:textId="170B76C1" w:rsidR="00666086" w:rsidRDefault="00666086" w:rsidP="00D94AD2">
      <w:pPr>
        <w:pStyle w:val="NormalWeb"/>
        <w:jc w:val="center"/>
      </w:pPr>
    </w:p>
    <w:p w14:paraId="6EFC34B2" w14:textId="3ADFDD53" w:rsidR="003F6595" w:rsidRDefault="00666086" w:rsidP="00666086">
      <w:pPr>
        <w:pStyle w:val="Ttulo1"/>
        <w:jc w:val="center"/>
        <w:rPr>
          <w:rFonts w:ascii="Montserrat" w:hAnsi="Montserrat"/>
          <w:b/>
          <w:bCs/>
          <w:color w:val="auto"/>
        </w:rPr>
      </w:pPr>
      <w:bookmarkStart w:id="22" w:name="_Toc181700710"/>
      <w:r w:rsidRPr="00666086">
        <w:rPr>
          <w:rFonts w:ascii="Montserrat" w:hAnsi="Montserrat"/>
          <w:b/>
          <w:bCs/>
          <w:color w:val="auto"/>
        </w:rPr>
        <w:lastRenderedPageBreak/>
        <w:t>Referências</w:t>
      </w:r>
      <w:bookmarkEnd w:id="22"/>
    </w:p>
    <w:p w14:paraId="393A9936" w14:textId="77777777" w:rsidR="00666086" w:rsidRPr="00666086" w:rsidRDefault="00666086" w:rsidP="00666086"/>
    <w:sdt>
      <w:sdtPr>
        <w:rPr>
          <w:color w:val="000000"/>
        </w:rPr>
        <w:tag w:val="MENDELEY_BIBLIOGRAPHY"/>
        <w:id w:val="951600538"/>
        <w:placeholder>
          <w:docPart w:val="DefaultPlaceholder_-1854013440"/>
        </w:placeholder>
      </w:sdtPr>
      <w:sdtEndPr/>
      <w:sdtContent>
        <w:p w14:paraId="74ABFA60" w14:textId="77777777" w:rsidR="00666086" w:rsidRPr="00666086" w:rsidRDefault="00666086" w:rsidP="00666086">
          <w:pPr>
            <w:autoSpaceDE w:val="0"/>
            <w:autoSpaceDN w:val="0"/>
            <w:ind w:hanging="640"/>
            <w:jc w:val="both"/>
            <w:divId w:val="344209817"/>
            <w:rPr>
              <w:rFonts w:ascii="Montserrat" w:eastAsia="Times New Roman" w:hAnsi="Montserrat"/>
              <w:color w:val="000000"/>
            </w:rPr>
          </w:pPr>
          <w:r w:rsidRPr="00666086">
            <w:rPr>
              <w:rFonts w:ascii="Montserrat" w:eastAsia="Times New Roman" w:hAnsi="Montserrat"/>
              <w:color w:val="000000"/>
              <w:sz w:val="20"/>
              <w:szCs w:val="20"/>
            </w:rPr>
            <w:t xml:space="preserve">1. </w:t>
          </w:r>
          <w:r w:rsidRPr="00666086">
            <w:rPr>
              <w:rFonts w:ascii="Montserrat" w:eastAsia="Times New Roman" w:hAnsi="Montserrat"/>
              <w:color w:val="000000"/>
              <w:sz w:val="20"/>
              <w:szCs w:val="20"/>
            </w:rPr>
            <w:tab/>
            <w:t xml:space="preserve">WHO. Global strategy on human resources for health: Workforce 2030. 2016. </w:t>
          </w:r>
        </w:p>
        <w:p w14:paraId="04B120DA" w14:textId="77777777" w:rsidR="00666086" w:rsidRPr="00666086" w:rsidRDefault="00666086" w:rsidP="00666086">
          <w:pPr>
            <w:autoSpaceDE w:val="0"/>
            <w:autoSpaceDN w:val="0"/>
            <w:ind w:hanging="640"/>
            <w:jc w:val="both"/>
            <w:divId w:val="682315618"/>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2. </w:t>
          </w:r>
          <w:r w:rsidRPr="00666086">
            <w:rPr>
              <w:rFonts w:ascii="Montserrat" w:eastAsia="Times New Roman" w:hAnsi="Montserrat"/>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3. </w:t>
          </w:r>
          <w:r w:rsidRPr="00666086">
            <w:rPr>
              <w:rFonts w:ascii="Montserrat" w:eastAsia="Times New Roman" w:hAnsi="Montserrat"/>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666086" w:rsidRDefault="00666086" w:rsidP="00666086">
          <w:pPr>
            <w:autoSpaceDE w:val="0"/>
            <w:autoSpaceDN w:val="0"/>
            <w:ind w:hanging="640"/>
            <w:jc w:val="both"/>
            <w:divId w:val="2052460715"/>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5. </w:t>
          </w:r>
          <w:r w:rsidRPr="00666086">
            <w:rPr>
              <w:rFonts w:ascii="Montserrat" w:eastAsia="Times New Roman" w:hAnsi="Montserrat"/>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6. </w:t>
          </w:r>
          <w:r w:rsidRPr="00666086">
            <w:rPr>
              <w:rFonts w:ascii="Montserrat" w:eastAsia="Times New Roman" w:hAnsi="Montserrat"/>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12" w:author="Daniel Pagotto" w:date="2024-11-05T12:12:00Z" w:initials="DP">
    <w:p w14:paraId="72C6D04C" w14:textId="155AC2FD" w:rsidR="009E5CEE" w:rsidRDefault="009E5CEE">
      <w:pPr>
        <w:pStyle w:val="Textodecomentrio"/>
      </w:pPr>
      <w:r>
        <w:rPr>
          <w:rStyle w:val="Refdecomentrio"/>
        </w:rPr>
        <w:annotationRef/>
      </w:r>
      <w:r>
        <w:t>Henrique, atualizar a consulta no repositório do github, pois eu fiz um ajuste lá no dremio</w:t>
      </w:r>
    </w:p>
  </w:comment>
  <w:comment w:id="14" w:author="HENRIQUE RIBEIRO DA SILVEIRA" w:date="2024-11-05T13:52:00Z" w:initials="HRDS">
    <w:p w14:paraId="67EBB76E" w14:textId="29479E0D" w:rsidR="00D7294F" w:rsidRDefault="00D7294F">
      <w:pPr>
        <w:pStyle w:val="Textodecomentrio"/>
      </w:pPr>
      <w:r>
        <w:rPr>
          <w:rStyle w:val="Refdecomentrio"/>
        </w:rPr>
        <w:annotationRef/>
      </w:r>
      <w:r>
        <w:t>Analises.face.ufg</w:t>
      </w:r>
    </w:p>
  </w:comment>
  <w:comment w:id="11"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Ex w15:paraId="72C6D04C" w15:done="0"/>
  <w15:commentEx w15:paraId="67EBB76E" w15:done="0"/>
  <w15:commentEx w15:paraId="36459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Extensible w16cex:durableId="2AD48A36" w16cex:dateUtc="2024-11-05T15:12:00Z"/>
  <w16cex:commentExtensible w16cex:durableId="2AD4A186" w16cex:dateUtc="2024-11-05T16:52:00Z"/>
  <w16cex:commentExtensible w16cex:durableId="2AD47E40" w16cex:dateUtc="2024-11-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Id w16cid:paraId="72C6D04C" w16cid:durableId="2AD48A36"/>
  <w16cid:commentId w16cid:paraId="67EBB76E" w16cid:durableId="2AD4A186"/>
  <w16cid:commentId w16cid:paraId="36459A5E" w16cid:durableId="2AD4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6B64" w14:textId="77777777" w:rsidR="00496AA8" w:rsidRDefault="00496AA8" w:rsidP="0078205E">
      <w:pPr>
        <w:spacing w:after="0" w:line="240" w:lineRule="auto"/>
      </w:pPr>
      <w:r>
        <w:separator/>
      </w:r>
    </w:p>
  </w:endnote>
  <w:endnote w:type="continuationSeparator" w:id="0">
    <w:p w14:paraId="15AE5B51" w14:textId="77777777" w:rsidR="00496AA8" w:rsidRDefault="00496AA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B0A7E" w14:textId="77777777" w:rsidR="00496AA8" w:rsidRDefault="00496AA8" w:rsidP="0078205E">
      <w:pPr>
        <w:spacing w:after="0" w:line="240" w:lineRule="auto"/>
      </w:pPr>
      <w:r>
        <w:separator/>
      </w:r>
    </w:p>
  </w:footnote>
  <w:footnote w:type="continuationSeparator" w:id="0">
    <w:p w14:paraId="5C0B26C4" w14:textId="77777777" w:rsidR="00496AA8" w:rsidRDefault="00496AA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F6595"/>
    <w:rsid w:val="00496AA8"/>
    <w:rsid w:val="004A3585"/>
    <w:rsid w:val="004C446E"/>
    <w:rsid w:val="004E0F3E"/>
    <w:rsid w:val="0051118D"/>
    <w:rsid w:val="005C3030"/>
    <w:rsid w:val="00666086"/>
    <w:rsid w:val="0078205E"/>
    <w:rsid w:val="00814305"/>
    <w:rsid w:val="009E5CEE"/>
    <w:rsid w:val="00A80BE7"/>
    <w:rsid w:val="00B13018"/>
    <w:rsid w:val="00B55CBE"/>
    <w:rsid w:val="00C05C2B"/>
    <w:rsid w:val="00D24869"/>
    <w:rsid w:val="00D36EEF"/>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semiHidden/>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cigets-plataforma-observatorio/cigets-analises/blob/main/Open%20analytics%20layer/Fichas%20executivas/01_script_mapas/02_precarizacao/02_precarizacao.R" TargetMode="External"/><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i.org/10.1590/1981-7746-ojs0199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9A2513"/>
    <w:rsid w:val="00A647F7"/>
    <w:rsid w:val="00AE103D"/>
    <w:rsid w:val="00BA09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1575</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dcterms:created xsi:type="dcterms:W3CDTF">2024-11-05T15:05:00Z</dcterms:created>
  <dcterms:modified xsi:type="dcterms:W3CDTF">2024-11-05T16:54:00Z</dcterms:modified>
</cp:coreProperties>
</file>