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BB515" w14:textId="46F4601E" w:rsidR="00761319" w:rsidRDefault="00761319" w:rsidP="00761319">
      <w:pPr>
        <w:ind w:right="-360"/>
        <w:jc w:val="center"/>
        <w:rPr>
          <w:b/>
          <w:bCs/>
          <w:sz w:val="36"/>
          <w:szCs w:val="36"/>
        </w:rPr>
      </w:pPr>
      <w:bookmarkStart w:id="0" w:name="_GoBack"/>
      <w:bookmarkEnd w:id="0"/>
      <w:r>
        <w:rPr>
          <w:b/>
          <w:bCs/>
          <w:sz w:val="36"/>
        </w:rPr>
        <w:t xml:space="preserve">Bacterial Mastitis DNA Extraction from Ruminant Milk Using </w:t>
      </w:r>
      <w:proofErr w:type="spellStart"/>
      <w:r>
        <w:rPr>
          <w:b/>
          <w:bCs/>
          <w:sz w:val="36"/>
        </w:rPr>
        <w:t>MagAttract</w:t>
      </w:r>
      <w:proofErr w:type="spellEnd"/>
      <w:r>
        <w:rPr>
          <w:b/>
          <w:bCs/>
          <w:sz w:val="36"/>
        </w:rPr>
        <w:t xml:space="preserve"> Mastitis P</w:t>
      </w:r>
      <w:r w:rsidR="002336F4">
        <w:rPr>
          <w:b/>
          <w:bCs/>
          <w:sz w:val="36"/>
        </w:rPr>
        <w:t xml:space="preserve">aramagnetic Beads and </w:t>
      </w:r>
      <w:proofErr w:type="spellStart"/>
      <w:r w:rsidR="002336F4">
        <w:rPr>
          <w:b/>
          <w:bCs/>
          <w:sz w:val="36"/>
        </w:rPr>
        <w:t>MagMAX</w:t>
      </w:r>
      <w:proofErr w:type="spellEnd"/>
      <w:r>
        <w:rPr>
          <w:b/>
          <w:bCs/>
          <w:sz w:val="36"/>
        </w:rPr>
        <w:t>-Flex</w:t>
      </w:r>
    </w:p>
    <w:p w14:paraId="36F51966" w14:textId="77777777" w:rsidR="00CF6FF5" w:rsidRDefault="00CF6FF5" w:rsidP="00CF6FF5">
      <w:pPr>
        <w:ind w:right="-360"/>
        <w:rPr>
          <w:bCs/>
        </w:rPr>
      </w:pPr>
      <w:r>
        <w:rPr>
          <w:bCs/>
        </w:rPr>
        <w:tab/>
      </w:r>
    </w:p>
    <w:p w14:paraId="0BE4BA64" w14:textId="77777777" w:rsidR="00CB59D4" w:rsidRPr="00B71C83" w:rsidRDefault="63AEE0EA" w:rsidP="63AEE0EA">
      <w:pPr>
        <w:pStyle w:val="Footer"/>
        <w:ind w:right="-360"/>
        <w:rPr>
          <w:b/>
          <w:bCs/>
        </w:rPr>
      </w:pPr>
      <w:r w:rsidRPr="63AEE0EA">
        <w:rPr>
          <w:u w:val="single"/>
        </w:rPr>
        <w:t>1.0 Purpose</w:t>
      </w:r>
    </w:p>
    <w:p w14:paraId="60CF4027" w14:textId="6CC28DC6" w:rsidR="00CB59D4" w:rsidRDefault="63AEE0EA" w:rsidP="007A0676">
      <w:pPr>
        <w:jc w:val="both"/>
      </w:pPr>
      <w:r>
        <w:t xml:space="preserve">The purpose of this procedure </w:t>
      </w:r>
      <w:r w:rsidR="00761319">
        <w:t xml:space="preserve">is to define a uniform method of extraction of bacterial DNA from ruminant milk using the </w:t>
      </w:r>
      <w:proofErr w:type="spellStart"/>
      <w:r w:rsidR="00761319">
        <w:t>MagAttract</w:t>
      </w:r>
      <w:proofErr w:type="spellEnd"/>
      <w:r w:rsidR="00761319">
        <w:t xml:space="preserve"> Mastitis Kit (cat. #947757).</w:t>
      </w:r>
    </w:p>
    <w:p w14:paraId="09DD105B" w14:textId="77777777" w:rsidR="00CB59D4" w:rsidRDefault="00CB59D4" w:rsidP="00CB59D4"/>
    <w:p w14:paraId="00C93407" w14:textId="77777777" w:rsidR="00CB59D4" w:rsidRDefault="63AEE0EA" w:rsidP="63AEE0EA">
      <w:pPr>
        <w:rPr>
          <w:u w:val="single"/>
        </w:rPr>
      </w:pPr>
      <w:r w:rsidRPr="63AEE0EA">
        <w:rPr>
          <w:u w:val="single"/>
        </w:rPr>
        <w:t>2.0 Responsibility</w:t>
      </w:r>
    </w:p>
    <w:p w14:paraId="41DD902A" w14:textId="43E1F270" w:rsidR="00CB59D4" w:rsidRDefault="63AEE0EA" w:rsidP="00CB59D4">
      <w:r>
        <w:t xml:space="preserve">It is the responsibility of all laboratory technicians to follow this procedure. It is the responsibility of the laboratory </w:t>
      </w:r>
      <w:r w:rsidR="005A5B92">
        <w:t>management</w:t>
      </w:r>
      <w:r>
        <w:t xml:space="preserve"> to ensure that this procedure is accurate and up-to-date.</w:t>
      </w:r>
    </w:p>
    <w:p w14:paraId="6BF067C2" w14:textId="77777777" w:rsidR="00CB59D4" w:rsidRDefault="00CB59D4" w:rsidP="00CB59D4">
      <w:pPr>
        <w:pStyle w:val="Header"/>
      </w:pPr>
    </w:p>
    <w:p w14:paraId="00C9743E" w14:textId="77777777" w:rsidR="00CB59D4" w:rsidRDefault="63AEE0EA" w:rsidP="63AEE0EA">
      <w:pPr>
        <w:rPr>
          <w:u w:val="single"/>
        </w:rPr>
      </w:pPr>
      <w:r w:rsidRPr="63AEE0EA">
        <w:rPr>
          <w:u w:val="single"/>
        </w:rPr>
        <w:t>3.0 Scope</w:t>
      </w:r>
    </w:p>
    <w:p w14:paraId="4B7D1E41" w14:textId="2FE7B8B2" w:rsidR="00CB59D4" w:rsidRDefault="63AEE0EA" w:rsidP="007A0676">
      <w:pPr>
        <w:jc w:val="both"/>
      </w:pPr>
      <w:r>
        <w:t xml:space="preserve">This procedure is </w:t>
      </w:r>
      <w:r w:rsidR="00761319">
        <w:t xml:space="preserve">to all ruminant milk samples requiring mastitis bacterial DNA. This procedure utilizes the </w:t>
      </w:r>
      <w:proofErr w:type="spellStart"/>
      <w:r w:rsidR="00761319">
        <w:t>MagAttract</w:t>
      </w:r>
      <w:proofErr w:type="spellEnd"/>
      <w:r w:rsidR="00761319">
        <w:t xml:space="preserve"> Mastitis purification kit (cat. #947757).</w:t>
      </w:r>
    </w:p>
    <w:p w14:paraId="19FE7224" w14:textId="77777777" w:rsidR="00CB59D4" w:rsidRDefault="00CB59D4" w:rsidP="00CB59D4"/>
    <w:p w14:paraId="516D9BCE" w14:textId="77777777" w:rsidR="00CB59D4" w:rsidRDefault="63AEE0EA" w:rsidP="63AEE0EA">
      <w:pPr>
        <w:pStyle w:val="Heading1"/>
        <w:jc w:val="left"/>
        <w:rPr>
          <w:b/>
          <w:bCs/>
          <w:sz w:val="24"/>
          <w:u w:val="single"/>
        </w:rPr>
      </w:pPr>
      <w:r w:rsidRPr="63AEE0EA">
        <w:rPr>
          <w:b/>
          <w:bCs/>
          <w:sz w:val="24"/>
          <w:u w:val="single"/>
        </w:rPr>
        <w:t>4.0 Reagent preparation</w:t>
      </w:r>
    </w:p>
    <w:p w14:paraId="098208F1" w14:textId="77777777" w:rsidR="00D06B79" w:rsidRPr="009E7155" w:rsidRDefault="00D06B79" w:rsidP="00CB59D4">
      <w:pPr>
        <w:rPr>
          <w:sz w:val="20"/>
          <w:szCs w:val="20"/>
        </w:rPr>
      </w:pPr>
    </w:p>
    <w:p w14:paraId="108E2677" w14:textId="34AF7882" w:rsidR="00CB59D4" w:rsidRDefault="00CB59D4" w:rsidP="009E7155">
      <w:pPr>
        <w:pStyle w:val="BodyText"/>
        <w:ind w:left="720" w:hanging="720"/>
        <w:jc w:val="left"/>
      </w:pPr>
      <w:r>
        <w:t>4.1</w:t>
      </w:r>
      <w:r>
        <w:tab/>
      </w:r>
      <w:r w:rsidR="005C256B">
        <w:t>All component</w:t>
      </w:r>
      <w:r w:rsidR="00871A59">
        <w:t>s</w:t>
      </w:r>
      <w:r w:rsidR="005C256B">
        <w:t xml:space="preserve"> of this kit </w:t>
      </w:r>
      <w:r w:rsidR="00871A59">
        <w:t>are</w:t>
      </w:r>
      <w:r w:rsidR="005C256B">
        <w:t xml:space="preserve"> stored at room temperature.</w:t>
      </w:r>
      <w:r w:rsidR="00761319">
        <w:t xml:space="preserve"> When opening</w:t>
      </w:r>
      <w:r w:rsidR="00761319" w:rsidRPr="00501C98">
        <w:t xml:space="preserve"> </w:t>
      </w:r>
      <w:r w:rsidR="00761319">
        <w:t>a new kit record the</w:t>
      </w:r>
      <w:r w:rsidR="00761319" w:rsidRPr="00276810">
        <w:t xml:space="preserve"> </w:t>
      </w:r>
      <w:r w:rsidR="00761319">
        <w:t>box lot number on the Extraction Form (MD-PCR-FORM-007).</w:t>
      </w:r>
    </w:p>
    <w:p w14:paraId="06C20F5F" w14:textId="2FB3AAB6" w:rsidR="00761319" w:rsidRDefault="001F61D0" w:rsidP="009E7155">
      <w:pPr>
        <w:pStyle w:val="BodyText"/>
        <w:ind w:left="720" w:hanging="720"/>
        <w:jc w:val="left"/>
      </w:pPr>
      <w:r>
        <w:t>4.2</w:t>
      </w:r>
      <w:r>
        <w:tab/>
        <w:t>Do not add</w:t>
      </w:r>
      <w:r w:rsidR="00761319">
        <w:t xml:space="preserve"> bleach or acidic solutions directly to the sample preparation waste. Buffer ML and Buffer AW1 contain guanidine hydrochloride and Buffer MVL contains guanidine thiocyanate, which can form highly reactive compounds if combined with bleach.</w:t>
      </w:r>
    </w:p>
    <w:p w14:paraId="4AAEE739" w14:textId="5AF4510E" w:rsidR="00761319" w:rsidRPr="001F61D0" w:rsidRDefault="00761319" w:rsidP="009E7155">
      <w:pPr>
        <w:pStyle w:val="BodyText"/>
        <w:ind w:left="720" w:hanging="720"/>
        <w:jc w:val="left"/>
        <w:rPr>
          <w:color w:val="FF0000"/>
        </w:rPr>
      </w:pPr>
      <w:r>
        <w:t>4.3</w:t>
      </w:r>
      <w:r>
        <w:tab/>
        <w:t>Buffer MVL is supplied as a concentrate. Before using for the first time, the appropriate amount of isopropanol (100%) must be added, as indicated on the bottle. Tick the check box on the bottle label to indicate that isopropanol has been added.</w:t>
      </w:r>
      <w:r w:rsidR="001F61D0">
        <w:t xml:space="preserve"> </w:t>
      </w:r>
      <w:r w:rsidR="001F61D0">
        <w:rPr>
          <w:color w:val="FF0000"/>
        </w:rPr>
        <w:t>[how long is MVL stable with isopropanol?]</w:t>
      </w:r>
    </w:p>
    <w:p w14:paraId="32E940F0" w14:textId="43063947" w:rsidR="00761319" w:rsidRDefault="00761319" w:rsidP="009E7155">
      <w:pPr>
        <w:pStyle w:val="BodyText"/>
        <w:ind w:left="720" w:hanging="720"/>
        <w:jc w:val="left"/>
      </w:pPr>
      <w:r>
        <w:t>4.4</w:t>
      </w:r>
      <w:r w:rsidR="001F40CF">
        <w:tab/>
        <w:t>Buffers AW1 and Buffer AW2 are supplied as a concentrate. Before using for the first time, the appropriate amount of ethanol (100%) must be added, as indicated on the bottle. Tick the check box on the bottle to indicate that ethanol has been added. Reconstituted Buffer AW1 and AW2 can be stored at room temperature for up to one year.</w:t>
      </w:r>
    </w:p>
    <w:p w14:paraId="311F95AC" w14:textId="08053C68" w:rsidR="001F40CF" w:rsidRDefault="00761319" w:rsidP="001F40CF">
      <w:pPr>
        <w:pStyle w:val="BodyText"/>
        <w:ind w:left="720" w:hanging="720"/>
        <w:jc w:val="left"/>
      </w:pPr>
      <w:r>
        <w:t>4.5</w:t>
      </w:r>
      <w:r w:rsidR="001F40CF">
        <w:t xml:space="preserve"> </w:t>
      </w:r>
      <w:r w:rsidR="001F40CF">
        <w:tab/>
      </w:r>
      <w:proofErr w:type="spellStart"/>
      <w:r w:rsidR="001F40CF">
        <w:t>MagAttract</w:t>
      </w:r>
      <w:proofErr w:type="spellEnd"/>
      <w:r w:rsidR="001F40CF">
        <w:t xml:space="preserve"> Suspension G must be shaken and vortexed before use. Shake the bottle and then vortex for 3 minutes.</w:t>
      </w:r>
      <w:r w:rsidR="001F40CF" w:rsidRPr="0025015A">
        <w:t xml:space="preserve"> </w:t>
      </w:r>
      <w:r w:rsidR="001F40CF">
        <w:t xml:space="preserve">Prepare MVL mixture and Buffer ML mixture according to the </w:t>
      </w:r>
      <w:proofErr w:type="spellStart"/>
      <w:r w:rsidR="001F40CF">
        <w:t>MagAttract</w:t>
      </w:r>
      <w:proofErr w:type="spellEnd"/>
      <w:r w:rsidR="001F40CF">
        <w:t xml:space="preserve"> Mastitis extraction recipe. [located in the </w:t>
      </w:r>
      <w:proofErr w:type="spellStart"/>
      <w:r w:rsidR="001F40CF">
        <w:t>Cador</w:t>
      </w:r>
      <w:proofErr w:type="spellEnd"/>
      <w:r w:rsidR="001F40CF">
        <w:t xml:space="preserve"> Mastitis development folder]. Once these mixtures are prepared keep at room temperature until needed.</w:t>
      </w:r>
    </w:p>
    <w:p w14:paraId="6ECAEA2F" w14:textId="62B47B8A" w:rsidR="00584359" w:rsidRPr="001F61D0" w:rsidRDefault="001F40CF" w:rsidP="001F40CF">
      <w:pPr>
        <w:pStyle w:val="BodyText"/>
        <w:ind w:left="720" w:hanging="720"/>
        <w:jc w:val="left"/>
        <w:rPr>
          <w:color w:val="FF0000"/>
        </w:rPr>
      </w:pPr>
      <w:r>
        <w:t>4.6</w:t>
      </w:r>
      <w:r>
        <w:tab/>
      </w:r>
      <w:r w:rsidR="001F61D0">
        <w:t>Remove the caps and a</w:t>
      </w:r>
      <w:r>
        <w:t xml:space="preserve">dd </w:t>
      </w:r>
      <w:r>
        <w:rPr>
          <w:b/>
        </w:rPr>
        <w:t xml:space="preserve">80 µl of Buffer ML mixture </w:t>
      </w:r>
      <w:r>
        <w:t>to each needed Collection Microtube with pre-loaded beads.</w:t>
      </w:r>
      <w:r w:rsidR="001F61D0">
        <w:t xml:space="preserve"> </w:t>
      </w:r>
      <w:r w:rsidR="001F61D0">
        <w:rPr>
          <w:color w:val="FF0000"/>
        </w:rPr>
        <w:t>[how long is Buffer ML mixture stable?]</w:t>
      </w:r>
    </w:p>
    <w:p w14:paraId="6796E626" w14:textId="77777777" w:rsidR="00CB59D4" w:rsidRPr="009E7155" w:rsidRDefault="00CB59D4" w:rsidP="009E7155">
      <w:pPr>
        <w:pStyle w:val="NoSpacing"/>
        <w:tabs>
          <w:tab w:val="left" w:pos="720"/>
        </w:tabs>
        <w:ind w:left="720" w:hanging="720"/>
        <w:rPr>
          <w:sz w:val="20"/>
          <w:szCs w:val="20"/>
        </w:rPr>
      </w:pPr>
    </w:p>
    <w:p w14:paraId="23082050" w14:textId="77777777" w:rsidR="00CB59D4" w:rsidRPr="00B71C83" w:rsidRDefault="63AEE0EA" w:rsidP="00E103B2">
      <w:pPr>
        <w:pStyle w:val="NoSpacing"/>
        <w:numPr>
          <w:ilvl w:val="1"/>
          <w:numId w:val="5"/>
        </w:numPr>
        <w:tabs>
          <w:tab w:val="clear" w:pos="720"/>
          <w:tab w:val="num" w:pos="360"/>
        </w:tabs>
        <w:rPr>
          <w:b/>
          <w:bCs/>
          <w:u w:val="single"/>
        </w:rPr>
      </w:pPr>
      <w:r w:rsidRPr="63AEE0EA">
        <w:rPr>
          <w:b/>
          <w:bCs/>
          <w:u w:val="single"/>
        </w:rPr>
        <w:t>Sample preparation</w:t>
      </w:r>
    </w:p>
    <w:p w14:paraId="09CC751B" w14:textId="46EADEE5" w:rsidR="00CB59D4" w:rsidRDefault="63AEE0EA" w:rsidP="00CB59D4">
      <w:pPr>
        <w:numPr>
          <w:ilvl w:val="1"/>
          <w:numId w:val="5"/>
        </w:numPr>
      </w:pPr>
      <w:r>
        <w:t xml:space="preserve">All samples are prepared in a biological safety cabinet, using sleeves and double gloves. </w:t>
      </w:r>
    </w:p>
    <w:p w14:paraId="5048D53F" w14:textId="54BA4B26" w:rsidR="00CB59D4" w:rsidRDefault="001F40CF" w:rsidP="001F40CF">
      <w:pPr>
        <w:numPr>
          <w:ilvl w:val="1"/>
          <w:numId w:val="5"/>
        </w:numPr>
      </w:pPr>
      <w:r>
        <w:t>Thaw and equilibrate milk samples at room temperature (15-25°C).</w:t>
      </w:r>
    </w:p>
    <w:p w14:paraId="22333EA5" w14:textId="3A6A591E" w:rsidR="001F61D0" w:rsidRDefault="001F61D0" w:rsidP="001F40CF">
      <w:pPr>
        <w:numPr>
          <w:ilvl w:val="1"/>
          <w:numId w:val="5"/>
        </w:numPr>
      </w:pPr>
      <w:r>
        <w:t xml:space="preserve">Mix the sample thoroughly by </w:t>
      </w:r>
      <w:proofErr w:type="spellStart"/>
      <w:r>
        <w:t>vortexing</w:t>
      </w:r>
      <w:proofErr w:type="spellEnd"/>
      <w:r>
        <w:t>, pulse spin.</w:t>
      </w:r>
    </w:p>
    <w:p w14:paraId="5703756E" w14:textId="69AF6943" w:rsidR="00CB59D4" w:rsidRPr="00761319" w:rsidRDefault="00CB59D4" w:rsidP="00761319">
      <w:pPr>
        <w:ind w:left="1440"/>
      </w:pPr>
    </w:p>
    <w:p w14:paraId="3ABCDB4C" w14:textId="4CA12C5E" w:rsidR="00CB59D4" w:rsidRPr="009628FC" w:rsidRDefault="00FE1EEA" w:rsidP="63AEE0EA">
      <w:pPr>
        <w:pStyle w:val="ListParagraph"/>
        <w:numPr>
          <w:ilvl w:val="0"/>
          <w:numId w:val="6"/>
        </w:numPr>
        <w:tabs>
          <w:tab w:val="left" w:pos="720"/>
        </w:tabs>
        <w:rPr>
          <w:b/>
          <w:bCs/>
          <w:u w:val="single"/>
        </w:rPr>
      </w:pPr>
      <w:r>
        <w:rPr>
          <w:b/>
          <w:bCs/>
          <w:u w:val="single"/>
        </w:rPr>
        <w:t>Plate set up and s</w:t>
      </w:r>
      <w:r w:rsidR="63AEE0EA" w:rsidRPr="63AEE0EA">
        <w:rPr>
          <w:b/>
          <w:bCs/>
          <w:u w:val="single"/>
        </w:rPr>
        <w:t>ample Transfer From Tube to Lysis Plate</w:t>
      </w:r>
    </w:p>
    <w:p w14:paraId="7A35C062" w14:textId="77777777" w:rsidR="00CB59D4" w:rsidRDefault="00CB59D4" w:rsidP="00CB59D4">
      <w:pPr>
        <w:pStyle w:val="ListParagraph"/>
        <w:tabs>
          <w:tab w:val="left" w:pos="720"/>
        </w:tabs>
        <w:ind w:left="1080"/>
      </w:pPr>
    </w:p>
    <w:p w14:paraId="3D3950FD" w14:textId="2529169A" w:rsidR="006B51CF" w:rsidRDefault="006B51CF" w:rsidP="00CB59D4">
      <w:pPr>
        <w:pStyle w:val="ListParagraph"/>
        <w:numPr>
          <w:ilvl w:val="1"/>
          <w:numId w:val="7"/>
        </w:numPr>
        <w:ind w:left="540" w:hanging="540"/>
      </w:pPr>
      <w:r>
        <w:t>Plate setup</w:t>
      </w:r>
      <w:r w:rsidR="003222FB">
        <w:t>:</w:t>
      </w:r>
    </w:p>
    <w:tbl>
      <w:tblPr>
        <w:tblStyle w:val="TableGrid"/>
        <w:tblW w:w="8455" w:type="dxa"/>
        <w:tblInd w:w="540" w:type="dxa"/>
        <w:tblLook w:val="04A0" w:firstRow="1" w:lastRow="0" w:firstColumn="1" w:lastColumn="0" w:noHBand="0" w:noVBand="1"/>
      </w:tblPr>
      <w:tblGrid>
        <w:gridCol w:w="2147"/>
        <w:gridCol w:w="2147"/>
        <w:gridCol w:w="2147"/>
        <w:gridCol w:w="2014"/>
      </w:tblGrid>
      <w:tr w:rsidR="003222FB" w14:paraId="0F3EC8BC" w14:textId="77777777" w:rsidTr="003222FB">
        <w:trPr>
          <w:trHeight w:val="254"/>
        </w:trPr>
        <w:tc>
          <w:tcPr>
            <w:tcW w:w="2147" w:type="dxa"/>
          </w:tcPr>
          <w:p w14:paraId="64E5BBCA" w14:textId="32F1802A" w:rsidR="003222FB" w:rsidRPr="003222FB" w:rsidRDefault="003222FB" w:rsidP="00CD28FD">
            <w:pPr>
              <w:pStyle w:val="ListParagraph"/>
              <w:ind w:left="0"/>
              <w:jc w:val="center"/>
              <w:rPr>
                <w:b/>
              </w:rPr>
            </w:pPr>
            <w:r w:rsidRPr="003222FB">
              <w:rPr>
                <w:b/>
              </w:rPr>
              <w:lastRenderedPageBreak/>
              <w:t>Pl</w:t>
            </w:r>
            <w:r w:rsidR="00CD28FD">
              <w:rPr>
                <w:b/>
              </w:rPr>
              <w:t>a</w:t>
            </w:r>
            <w:r w:rsidRPr="003222FB">
              <w:rPr>
                <w:b/>
              </w:rPr>
              <w:t>te ID</w:t>
            </w:r>
          </w:p>
        </w:tc>
        <w:tc>
          <w:tcPr>
            <w:tcW w:w="2147" w:type="dxa"/>
          </w:tcPr>
          <w:p w14:paraId="5C622500" w14:textId="092BCD35" w:rsidR="003222FB" w:rsidRPr="003222FB" w:rsidRDefault="003222FB" w:rsidP="003222FB">
            <w:pPr>
              <w:pStyle w:val="ListParagraph"/>
              <w:ind w:left="0"/>
              <w:jc w:val="center"/>
              <w:rPr>
                <w:b/>
              </w:rPr>
            </w:pPr>
            <w:r w:rsidRPr="003222FB">
              <w:rPr>
                <w:b/>
              </w:rPr>
              <w:t>Plate Type</w:t>
            </w:r>
          </w:p>
        </w:tc>
        <w:tc>
          <w:tcPr>
            <w:tcW w:w="2147" w:type="dxa"/>
          </w:tcPr>
          <w:p w14:paraId="3C326211" w14:textId="72A4EB65" w:rsidR="003222FB" w:rsidRPr="003222FB" w:rsidRDefault="003222FB" w:rsidP="003222FB">
            <w:pPr>
              <w:pStyle w:val="ListParagraph"/>
              <w:ind w:left="0"/>
              <w:jc w:val="center"/>
              <w:rPr>
                <w:b/>
              </w:rPr>
            </w:pPr>
            <w:r w:rsidRPr="003222FB">
              <w:rPr>
                <w:b/>
              </w:rPr>
              <w:t>Reagent</w:t>
            </w:r>
          </w:p>
        </w:tc>
        <w:tc>
          <w:tcPr>
            <w:tcW w:w="2014" w:type="dxa"/>
          </w:tcPr>
          <w:p w14:paraId="73E903AF" w14:textId="3BE77049" w:rsidR="003222FB" w:rsidRPr="003222FB" w:rsidRDefault="003222FB" w:rsidP="003222FB">
            <w:pPr>
              <w:pStyle w:val="ListParagraph"/>
              <w:ind w:left="0"/>
              <w:jc w:val="center"/>
              <w:rPr>
                <w:b/>
              </w:rPr>
            </w:pPr>
            <w:r w:rsidRPr="003222FB">
              <w:rPr>
                <w:b/>
              </w:rPr>
              <w:t>Volume per well</w:t>
            </w:r>
          </w:p>
        </w:tc>
      </w:tr>
      <w:tr w:rsidR="00761319" w14:paraId="464C9BA4" w14:textId="77777777" w:rsidTr="002C4054">
        <w:trPr>
          <w:trHeight w:val="254"/>
        </w:trPr>
        <w:tc>
          <w:tcPr>
            <w:tcW w:w="2147" w:type="dxa"/>
            <w:vAlign w:val="center"/>
          </w:tcPr>
          <w:p w14:paraId="2ED18595" w14:textId="04138F3C" w:rsidR="00761319" w:rsidRDefault="00761319" w:rsidP="00761319">
            <w:pPr>
              <w:pStyle w:val="ListParagraph"/>
              <w:ind w:left="0"/>
              <w:jc w:val="center"/>
            </w:pPr>
            <w:r w:rsidRPr="00124B38">
              <w:rPr>
                <w:color w:val="000000" w:themeColor="text1"/>
              </w:rPr>
              <w:t>Tip Comb</w:t>
            </w:r>
          </w:p>
        </w:tc>
        <w:tc>
          <w:tcPr>
            <w:tcW w:w="2147" w:type="dxa"/>
            <w:vAlign w:val="center"/>
          </w:tcPr>
          <w:p w14:paraId="36FE693D" w14:textId="2EA66A07" w:rsidR="00761319" w:rsidRDefault="00761319" w:rsidP="00761319">
            <w:pPr>
              <w:pStyle w:val="ListParagraph"/>
              <w:ind w:left="0"/>
              <w:jc w:val="center"/>
            </w:pPr>
            <w:r w:rsidRPr="00124B38">
              <w:rPr>
                <w:color w:val="000000" w:themeColor="text1"/>
              </w:rPr>
              <w:t>Deep well</w:t>
            </w:r>
          </w:p>
        </w:tc>
        <w:tc>
          <w:tcPr>
            <w:tcW w:w="4161" w:type="dxa"/>
            <w:gridSpan w:val="2"/>
            <w:vAlign w:val="center"/>
          </w:tcPr>
          <w:p w14:paraId="1C4F498F" w14:textId="77777777" w:rsidR="00761319" w:rsidRPr="00124B38" w:rsidRDefault="00761319" w:rsidP="00761319">
            <w:pPr>
              <w:pStyle w:val="ListParagraph"/>
              <w:ind w:left="0"/>
              <w:jc w:val="center"/>
              <w:rPr>
                <w:color w:val="000000" w:themeColor="text1"/>
              </w:rPr>
            </w:pPr>
            <w:r w:rsidRPr="00124B38">
              <w:rPr>
                <w:color w:val="000000" w:themeColor="text1"/>
              </w:rPr>
              <w:t>Place a tip comb in the plate.</w:t>
            </w:r>
          </w:p>
          <w:p w14:paraId="0EA7614E" w14:textId="28C5C6B9" w:rsidR="00761319" w:rsidRDefault="00761319" w:rsidP="00761319">
            <w:pPr>
              <w:pStyle w:val="ListParagraph"/>
              <w:ind w:left="0"/>
              <w:jc w:val="center"/>
            </w:pPr>
            <w:r w:rsidRPr="00124B38">
              <w:rPr>
                <w:color w:val="000000" w:themeColor="text1"/>
              </w:rPr>
              <w:t>Be sure the comb is flat</w:t>
            </w:r>
          </w:p>
        </w:tc>
      </w:tr>
      <w:tr w:rsidR="00761319" w14:paraId="6FEF9E45" w14:textId="77777777" w:rsidTr="002C4054">
        <w:trPr>
          <w:trHeight w:val="254"/>
        </w:trPr>
        <w:tc>
          <w:tcPr>
            <w:tcW w:w="2147" w:type="dxa"/>
            <w:vAlign w:val="center"/>
          </w:tcPr>
          <w:p w14:paraId="354FE295" w14:textId="7D6AABC3" w:rsidR="00761319" w:rsidRPr="00FF3EA8" w:rsidRDefault="00761319" w:rsidP="00761319">
            <w:pPr>
              <w:pStyle w:val="ListParagraph"/>
              <w:ind w:left="0"/>
              <w:jc w:val="center"/>
              <w:rPr>
                <w:b/>
              </w:rPr>
            </w:pPr>
            <w:r w:rsidRPr="00FF3EA8">
              <w:rPr>
                <w:b/>
                <w:color w:val="000000" w:themeColor="text1"/>
              </w:rPr>
              <w:t>Sample plate</w:t>
            </w:r>
          </w:p>
        </w:tc>
        <w:tc>
          <w:tcPr>
            <w:tcW w:w="2147" w:type="dxa"/>
            <w:vAlign w:val="center"/>
          </w:tcPr>
          <w:p w14:paraId="54B44D4A" w14:textId="413E5713" w:rsidR="00761319" w:rsidRDefault="00761319" w:rsidP="00761319">
            <w:pPr>
              <w:pStyle w:val="ListParagraph"/>
              <w:ind w:left="0"/>
              <w:jc w:val="center"/>
            </w:pPr>
            <w:r w:rsidRPr="003D42D6">
              <w:rPr>
                <w:color w:val="000000" w:themeColor="text1"/>
              </w:rPr>
              <w:t>Deep well</w:t>
            </w:r>
          </w:p>
        </w:tc>
        <w:tc>
          <w:tcPr>
            <w:tcW w:w="4161" w:type="dxa"/>
            <w:gridSpan w:val="2"/>
            <w:vAlign w:val="center"/>
          </w:tcPr>
          <w:p w14:paraId="1384FD21" w14:textId="16DD51E9" w:rsidR="00761319" w:rsidRDefault="00761319" w:rsidP="00D33077">
            <w:pPr>
              <w:pStyle w:val="ListParagraph"/>
              <w:ind w:left="0"/>
              <w:jc w:val="center"/>
            </w:pPr>
            <w:r w:rsidRPr="00FF3EA8">
              <w:rPr>
                <w:b/>
                <w:color w:val="000000" w:themeColor="text1"/>
              </w:rPr>
              <w:t>Lysate</w:t>
            </w:r>
            <w:r w:rsidRPr="003D42D6">
              <w:rPr>
                <w:color w:val="000000" w:themeColor="text1"/>
              </w:rPr>
              <w:t xml:space="preserve"> (MVL mixture</w:t>
            </w:r>
            <w:r w:rsidR="008526FB">
              <w:rPr>
                <w:color w:val="000000" w:themeColor="text1"/>
              </w:rPr>
              <w:t xml:space="preserve"> </w:t>
            </w:r>
            <w:r w:rsidR="008526FB" w:rsidRPr="008526FB">
              <w:rPr>
                <w:b/>
                <w:color w:val="000000" w:themeColor="text1"/>
              </w:rPr>
              <w:t xml:space="preserve">500 </w:t>
            </w:r>
            <w:r w:rsidR="008526FB" w:rsidRPr="00124B38">
              <w:rPr>
                <w:rFonts w:ascii="Symbol" w:eastAsia="Symbol" w:hAnsi="Symbol" w:cs="Symbol"/>
                <w:b/>
                <w:color w:val="000000" w:themeColor="text1"/>
              </w:rPr>
              <w:t></w:t>
            </w:r>
            <w:r w:rsidR="008526FB" w:rsidRPr="00124B38">
              <w:rPr>
                <w:b/>
                <w:color w:val="000000" w:themeColor="text1"/>
              </w:rPr>
              <w:t>l</w:t>
            </w:r>
            <w:r w:rsidR="00D33077">
              <w:rPr>
                <w:b/>
                <w:color w:val="000000" w:themeColor="text1"/>
              </w:rPr>
              <w:t xml:space="preserve"> +</w:t>
            </w:r>
            <w:r w:rsidR="00D33077" w:rsidRPr="003D42D6">
              <w:rPr>
                <w:color w:val="000000" w:themeColor="text1"/>
              </w:rPr>
              <w:t xml:space="preserve"> ML</w:t>
            </w:r>
            <w:r w:rsidR="00D33077">
              <w:rPr>
                <w:color w:val="000000" w:themeColor="text1"/>
              </w:rPr>
              <w:t>/sample</w:t>
            </w:r>
            <w:r w:rsidR="00D33077" w:rsidRPr="003D42D6">
              <w:rPr>
                <w:color w:val="000000" w:themeColor="text1"/>
              </w:rPr>
              <w:t xml:space="preserve"> mixture</w:t>
            </w:r>
            <w:r w:rsidR="00D33077">
              <w:rPr>
                <w:color w:val="000000" w:themeColor="text1"/>
              </w:rPr>
              <w:t xml:space="preserve"> </w:t>
            </w:r>
            <w:r w:rsidR="00D33077" w:rsidRPr="008526FB">
              <w:rPr>
                <w:b/>
                <w:color w:val="000000" w:themeColor="text1"/>
              </w:rPr>
              <w:t>420</w:t>
            </w:r>
            <w:r w:rsidR="00D33077">
              <w:rPr>
                <w:color w:val="000000" w:themeColor="text1"/>
              </w:rPr>
              <w:t xml:space="preserve"> </w:t>
            </w:r>
            <w:r w:rsidR="00D33077" w:rsidRPr="00124B38">
              <w:rPr>
                <w:rFonts w:ascii="Symbol" w:eastAsia="Symbol" w:hAnsi="Symbol" w:cs="Symbol"/>
                <w:b/>
                <w:color w:val="000000" w:themeColor="text1"/>
              </w:rPr>
              <w:t></w:t>
            </w:r>
            <w:r w:rsidR="00D33077" w:rsidRPr="00124B38">
              <w:rPr>
                <w:b/>
                <w:color w:val="000000" w:themeColor="text1"/>
              </w:rPr>
              <w:t>l</w:t>
            </w:r>
            <w:r w:rsidRPr="003D42D6">
              <w:rPr>
                <w:color w:val="000000" w:themeColor="text1"/>
              </w:rPr>
              <w:t>)</w:t>
            </w:r>
            <w:r>
              <w:rPr>
                <w:color w:val="000000" w:themeColor="text1"/>
              </w:rPr>
              <w:t xml:space="preserve"> </w:t>
            </w:r>
            <w:r>
              <w:rPr>
                <w:b/>
                <w:color w:val="000000" w:themeColor="text1"/>
              </w:rPr>
              <w:t>92</w:t>
            </w:r>
            <w:r w:rsidRPr="00124B38">
              <w:rPr>
                <w:b/>
                <w:color w:val="000000" w:themeColor="text1"/>
              </w:rPr>
              <w:t xml:space="preserve">0 </w:t>
            </w:r>
            <w:r w:rsidRPr="00124B38">
              <w:rPr>
                <w:rFonts w:ascii="Symbol" w:eastAsia="Symbol" w:hAnsi="Symbol" w:cs="Symbol"/>
                <w:b/>
                <w:color w:val="000000" w:themeColor="text1"/>
              </w:rPr>
              <w:t></w:t>
            </w:r>
            <w:r w:rsidRPr="00124B38">
              <w:rPr>
                <w:b/>
                <w:color w:val="000000" w:themeColor="text1"/>
              </w:rPr>
              <w:t>l</w:t>
            </w:r>
            <w:r w:rsidR="008526FB">
              <w:rPr>
                <w:b/>
                <w:color w:val="000000" w:themeColor="text1"/>
              </w:rPr>
              <w:t xml:space="preserve"> total</w:t>
            </w:r>
          </w:p>
        </w:tc>
      </w:tr>
      <w:tr w:rsidR="00761319" w14:paraId="11243365" w14:textId="77777777" w:rsidTr="00F80159">
        <w:trPr>
          <w:trHeight w:val="254"/>
        </w:trPr>
        <w:tc>
          <w:tcPr>
            <w:tcW w:w="2147" w:type="dxa"/>
            <w:vAlign w:val="center"/>
          </w:tcPr>
          <w:p w14:paraId="76A7957B" w14:textId="004C562C" w:rsidR="00761319" w:rsidRPr="00C22CB8" w:rsidRDefault="00761319" w:rsidP="00761319">
            <w:pPr>
              <w:pStyle w:val="ListParagraph"/>
              <w:ind w:left="0"/>
              <w:jc w:val="center"/>
              <w:rPr>
                <w:b/>
              </w:rPr>
            </w:pPr>
            <w:r w:rsidRPr="00124B38">
              <w:rPr>
                <w:b/>
                <w:color w:val="000000" w:themeColor="text1"/>
              </w:rPr>
              <w:t>Wash 1</w:t>
            </w:r>
          </w:p>
        </w:tc>
        <w:tc>
          <w:tcPr>
            <w:tcW w:w="2147" w:type="dxa"/>
            <w:vAlign w:val="center"/>
          </w:tcPr>
          <w:p w14:paraId="161E90F0" w14:textId="0F9F4727" w:rsidR="00761319" w:rsidRDefault="00761319" w:rsidP="00761319">
            <w:pPr>
              <w:pStyle w:val="ListParagraph"/>
              <w:ind w:left="0"/>
              <w:jc w:val="center"/>
            </w:pPr>
            <w:r w:rsidRPr="00124B38">
              <w:rPr>
                <w:color w:val="000000" w:themeColor="text1"/>
              </w:rPr>
              <w:t>Deep Well</w:t>
            </w:r>
          </w:p>
        </w:tc>
        <w:tc>
          <w:tcPr>
            <w:tcW w:w="2147" w:type="dxa"/>
            <w:vAlign w:val="center"/>
          </w:tcPr>
          <w:p w14:paraId="2DAB0767" w14:textId="5471B4FE" w:rsidR="00761319" w:rsidRDefault="00761319" w:rsidP="00761319">
            <w:pPr>
              <w:pStyle w:val="ListParagraph"/>
              <w:ind w:left="0"/>
              <w:jc w:val="center"/>
            </w:pPr>
            <w:r w:rsidRPr="00124B38">
              <w:rPr>
                <w:b/>
                <w:color w:val="000000" w:themeColor="text1"/>
              </w:rPr>
              <w:t>Buffer AW1</w:t>
            </w:r>
          </w:p>
        </w:tc>
        <w:tc>
          <w:tcPr>
            <w:tcW w:w="2014" w:type="dxa"/>
            <w:vAlign w:val="center"/>
          </w:tcPr>
          <w:p w14:paraId="1547C772" w14:textId="29395FB9" w:rsidR="00761319" w:rsidRPr="00C22CB8" w:rsidRDefault="00761319" w:rsidP="00761319">
            <w:pPr>
              <w:pStyle w:val="ListParagraph"/>
              <w:ind w:left="0"/>
              <w:jc w:val="center"/>
              <w:rPr>
                <w:b/>
              </w:rPr>
            </w:pPr>
            <w:r w:rsidRPr="00124B38">
              <w:rPr>
                <w:b/>
                <w:color w:val="000000" w:themeColor="text1"/>
              </w:rPr>
              <w:t xml:space="preserve">1000 </w:t>
            </w:r>
            <w:r w:rsidRPr="00124B38">
              <w:rPr>
                <w:rFonts w:ascii="Symbol" w:eastAsia="Symbol" w:hAnsi="Symbol" w:cs="Symbol"/>
                <w:b/>
                <w:color w:val="000000" w:themeColor="text1"/>
              </w:rPr>
              <w:t></w:t>
            </w:r>
            <w:r w:rsidRPr="00124B38">
              <w:rPr>
                <w:b/>
                <w:color w:val="000000" w:themeColor="text1"/>
              </w:rPr>
              <w:t>l</w:t>
            </w:r>
          </w:p>
        </w:tc>
      </w:tr>
      <w:tr w:rsidR="00761319" w14:paraId="4E327B2E" w14:textId="77777777" w:rsidTr="00F80159">
        <w:trPr>
          <w:trHeight w:val="575"/>
        </w:trPr>
        <w:tc>
          <w:tcPr>
            <w:tcW w:w="2147" w:type="dxa"/>
            <w:vAlign w:val="center"/>
          </w:tcPr>
          <w:p w14:paraId="38FA14B5" w14:textId="0B92930E" w:rsidR="00761319" w:rsidRPr="00C22CB8" w:rsidRDefault="00761319" w:rsidP="00761319">
            <w:pPr>
              <w:pStyle w:val="ListParagraph"/>
              <w:ind w:left="0"/>
              <w:jc w:val="center"/>
              <w:rPr>
                <w:b/>
              </w:rPr>
            </w:pPr>
            <w:r w:rsidRPr="00124B38">
              <w:rPr>
                <w:b/>
                <w:color w:val="000000" w:themeColor="text1"/>
              </w:rPr>
              <w:t>Wash 2</w:t>
            </w:r>
          </w:p>
        </w:tc>
        <w:tc>
          <w:tcPr>
            <w:tcW w:w="2147" w:type="dxa"/>
            <w:vAlign w:val="center"/>
          </w:tcPr>
          <w:p w14:paraId="6CF93C04" w14:textId="6C794F13" w:rsidR="00761319" w:rsidRDefault="00761319" w:rsidP="00761319">
            <w:pPr>
              <w:pStyle w:val="ListParagraph"/>
              <w:ind w:left="0"/>
              <w:jc w:val="center"/>
            </w:pPr>
            <w:r w:rsidRPr="00124B38">
              <w:rPr>
                <w:color w:val="000000" w:themeColor="text1"/>
              </w:rPr>
              <w:t>Deep Well</w:t>
            </w:r>
          </w:p>
        </w:tc>
        <w:tc>
          <w:tcPr>
            <w:tcW w:w="2147" w:type="dxa"/>
            <w:vAlign w:val="center"/>
          </w:tcPr>
          <w:p w14:paraId="3080649C" w14:textId="191A0D48" w:rsidR="00761319" w:rsidRDefault="00761319" w:rsidP="00761319">
            <w:pPr>
              <w:pStyle w:val="ListParagraph"/>
              <w:ind w:left="0"/>
              <w:jc w:val="center"/>
            </w:pPr>
            <w:r w:rsidRPr="00124B38">
              <w:rPr>
                <w:b/>
                <w:color w:val="000000" w:themeColor="text1"/>
              </w:rPr>
              <w:t>Buffer AW2</w:t>
            </w:r>
          </w:p>
        </w:tc>
        <w:tc>
          <w:tcPr>
            <w:tcW w:w="2014" w:type="dxa"/>
            <w:vAlign w:val="center"/>
          </w:tcPr>
          <w:p w14:paraId="48A07197" w14:textId="177C4B2A" w:rsidR="00761319" w:rsidRPr="00C22CB8" w:rsidRDefault="00761319" w:rsidP="00761319">
            <w:pPr>
              <w:pStyle w:val="ListParagraph"/>
              <w:ind w:left="0"/>
              <w:jc w:val="center"/>
              <w:rPr>
                <w:b/>
              </w:rPr>
            </w:pPr>
            <w:r w:rsidRPr="00124B38">
              <w:rPr>
                <w:b/>
                <w:color w:val="000000" w:themeColor="text1"/>
              </w:rPr>
              <w:t xml:space="preserve">1000 </w:t>
            </w:r>
            <w:r w:rsidRPr="00124B38">
              <w:rPr>
                <w:rFonts w:ascii="Symbol" w:eastAsia="Symbol" w:hAnsi="Symbol" w:cs="Symbol"/>
                <w:b/>
                <w:color w:val="000000" w:themeColor="text1"/>
              </w:rPr>
              <w:t></w:t>
            </w:r>
            <w:r w:rsidRPr="00124B38">
              <w:rPr>
                <w:b/>
                <w:color w:val="000000" w:themeColor="text1"/>
              </w:rPr>
              <w:t>l</w:t>
            </w:r>
          </w:p>
        </w:tc>
      </w:tr>
      <w:tr w:rsidR="00761319" w14:paraId="2686DA3C" w14:textId="77777777" w:rsidTr="00F80159">
        <w:trPr>
          <w:trHeight w:val="575"/>
        </w:trPr>
        <w:tc>
          <w:tcPr>
            <w:tcW w:w="2147" w:type="dxa"/>
            <w:vAlign w:val="center"/>
          </w:tcPr>
          <w:p w14:paraId="112034FD" w14:textId="77777777" w:rsidR="00761319" w:rsidRPr="00124B38" w:rsidRDefault="00761319" w:rsidP="00761319">
            <w:pPr>
              <w:pStyle w:val="ListParagraph"/>
              <w:ind w:left="0"/>
              <w:jc w:val="center"/>
              <w:rPr>
                <w:b/>
                <w:color w:val="000000" w:themeColor="text1"/>
              </w:rPr>
            </w:pPr>
            <w:r w:rsidRPr="00124B38">
              <w:rPr>
                <w:b/>
                <w:color w:val="000000" w:themeColor="text1"/>
              </w:rPr>
              <w:t>Wash 3</w:t>
            </w:r>
          </w:p>
          <w:p w14:paraId="506FF13C" w14:textId="77777777" w:rsidR="00761319" w:rsidRPr="00C22CB8" w:rsidRDefault="00761319" w:rsidP="00761319">
            <w:pPr>
              <w:pStyle w:val="ListParagraph"/>
              <w:ind w:left="0"/>
              <w:jc w:val="center"/>
              <w:rPr>
                <w:b/>
              </w:rPr>
            </w:pPr>
          </w:p>
        </w:tc>
        <w:tc>
          <w:tcPr>
            <w:tcW w:w="2147" w:type="dxa"/>
            <w:vAlign w:val="center"/>
          </w:tcPr>
          <w:p w14:paraId="7186762B" w14:textId="04DB76AE" w:rsidR="00761319" w:rsidRDefault="00761319" w:rsidP="00761319">
            <w:pPr>
              <w:pStyle w:val="ListParagraph"/>
              <w:ind w:left="0"/>
              <w:jc w:val="center"/>
            </w:pPr>
            <w:r w:rsidRPr="00124B38">
              <w:rPr>
                <w:color w:val="000000" w:themeColor="text1"/>
              </w:rPr>
              <w:t>Deep well</w:t>
            </w:r>
          </w:p>
        </w:tc>
        <w:tc>
          <w:tcPr>
            <w:tcW w:w="2147" w:type="dxa"/>
            <w:vAlign w:val="center"/>
          </w:tcPr>
          <w:p w14:paraId="4E7034A0" w14:textId="165C5317" w:rsidR="00761319" w:rsidRDefault="00761319" w:rsidP="00761319">
            <w:pPr>
              <w:pStyle w:val="ListParagraph"/>
              <w:ind w:left="0"/>
              <w:jc w:val="center"/>
            </w:pPr>
            <w:r w:rsidRPr="00124B38">
              <w:rPr>
                <w:b/>
                <w:color w:val="000000" w:themeColor="text1"/>
              </w:rPr>
              <w:t>100% Ethanol</w:t>
            </w:r>
          </w:p>
        </w:tc>
        <w:tc>
          <w:tcPr>
            <w:tcW w:w="2014" w:type="dxa"/>
            <w:vAlign w:val="center"/>
          </w:tcPr>
          <w:p w14:paraId="419FB245" w14:textId="6EEC621C" w:rsidR="00761319" w:rsidRPr="00C22CB8" w:rsidRDefault="00761319" w:rsidP="00761319">
            <w:pPr>
              <w:pStyle w:val="ListParagraph"/>
              <w:ind w:left="0"/>
              <w:jc w:val="center"/>
              <w:rPr>
                <w:b/>
              </w:rPr>
            </w:pPr>
            <w:r w:rsidRPr="00124B38">
              <w:rPr>
                <w:b/>
                <w:color w:val="000000" w:themeColor="text1"/>
              </w:rPr>
              <w:t xml:space="preserve">1000 </w:t>
            </w:r>
            <w:r w:rsidRPr="00124B38">
              <w:rPr>
                <w:rFonts w:ascii="Symbol" w:eastAsia="Symbol" w:hAnsi="Symbol" w:cs="Symbol"/>
                <w:b/>
                <w:color w:val="000000" w:themeColor="text1"/>
              </w:rPr>
              <w:t></w:t>
            </w:r>
            <w:r w:rsidRPr="00124B38">
              <w:rPr>
                <w:b/>
                <w:color w:val="000000" w:themeColor="text1"/>
              </w:rPr>
              <w:t>l</w:t>
            </w:r>
          </w:p>
        </w:tc>
      </w:tr>
      <w:tr w:rsidR="00E103B2" w:rsidRPr="00E103B2" w14:paraId="05B7F7D4" w14:textId="77777777" w:rsidTr="00F80159">
        <w:trPr>
          <w:trHeight w:val="254"/>
        </w:trPr>
        <w:tc>
          <w:tcPr>
            <w:tcW w:w="2147" w:type="dxa"/>
            <w:vAlign w:val="center"/>
          </w:tcPr>
          <w:p w14:paraId="773D98C7" w14:textId="404D2BC1" w:rsidR="00761319" w:rsidRPr="00E103B2" w:rsidRDefault="00761319" w:rsidP="00761319">
            <w:pPr>
              <w:pStyle w:val="ListParagraph"/>
              <w:ind w:left="0"/>
              <w:jc w:val="center"/>
              <w:rPr>
                <w:color w:val="000000" w:themeColor="text1"/>
              </w:rPr>
            </w:pPr>
            <w:r w:rsidRPr="00E103B2">
              <w:rPr>
                <w:b/>
                <w:color w:val="000000" w:themeColor="text1"/>
              </w:rPr>
              <w:t>Elution</w:t>
            </w:r>
            <w:r w:rsidR="00FF233E">
              <w:rPr>
                <w:b/>
                <w:color w:val="000000" w:themeColor="text1"/>
              </w:rPr>
              <w:t xml:space="preserve"> </w:t>
            </w:r>
            <w:r w:rsidRPr="00E103B2">
              <w:rPr>
                <w:color w:val="000000" w:themeColor="text1"/>
              </w:rPr>
              <w:t>(label with worklist date)</w:t>
            </w:r>
          </w:p>
        </w:tc>
        <w:tc>
          <w:tcPr>
            <w:tcW w:w="2147" w:type="dxa"/>
            <w:vAlign w:val="center"/>
          </w:tcPr>
          <w:p w14:paraId="111B0EEB" w14:textId="72649E8A" w:rsidR="00761319" w:rsidRPr="00E103B2" w:rsidRDefault="00761319" w:rsidP="00761319">
            <w:pPr>
              <w:pStyle w:val="ListParagraph"/>
              <w:ind w:left="0"/>
              <w:jc w:val="center"/>
              <w:rPr>
                <w:color w:val="000000" w:themeColor="text1"/>
              </w:rPr>
            </w:pPr>
            <w:r w:rsidRPr="00E103B2">
              <w:rPr>
                <w:color w:val="000000" w:themeColor="text1"/>
              </w:rPr>
              <w:t>Standard</w:t>
            </w:r>
          </w:p>
        </w:tc>
        <w:tc>
          <w:tcPr>
            <w:tcW w:w="2147" w:type="dxa"/>
            <w:vAlign w:val="center"/>
          </w:tcPr>
          <w:p w14:paraId="56181454" w14:textId="561D22DF" w:rsidR="00761319" w:rsidRPr="00E103B2" w:rsidRDefault="00761319" w:rsidP="00761319">
            <w:pPr>
              <w:pStyle w:val="ListParagraph"/>
              <w:ind w:left="0"/>
              <w:jc w:val="center"/>
              <w:rPr>
                <w:color w:val="000000" w:themeColor="text1"/>
              </w:rPr>
            </w:pPr>
            <w:r w:rsidRPr="00E103B2">
              <w:rPr>
                <w:b/>
                <w:color w:val="FF0000"/>
              </w:rPr>
              <w:t>Buffer ATE</w:t>
            </w:r>
            <w:r w:rsidR="00E103B2">
              <w:rPr>
                <w:b/>
                <w:color w:val="FF0000"/>
              </w:rPr>
              <w:t xml:space="preserve"> [does this have EDTA]</w:t>
            </w:r>
          </w:p>
        </w:tc>
        <w:tc>
          <w:tcPr>
            <w:tcW w:w="2014" w:type="dxa"/>
            <w:vAlign w:val="center"/>
          </w:tcPr>
          <w:p w14:paraId="74D0B4E0" w14:textId="341E9A36" w:rsidR="00761319" w:rsidRPr="00E103B2" w:rsidRDefault="00761319" w:rsidP="00761319">
            <w:pPr>
              <w:pStyle w:val="ListParagraph"/>
              <w:ind w:left="0"/>
              <w:jc w:val="center"/>
              <w:rPr>
                <w:b/>
                <w:color w:val="000000" w:themeColor="text1"/>
              </w:rPr>
            </w:pPr>
            <w:r w:rsidRPr="00E103B2">
              <w:rPr>
                <w:b/>
                <w:color w:val="000000" w:themeColor="text1"/>
              </w:rPr>
              <w:t xml:space="preserve">100 </w:t>
            </w:r>
            <w:r w:rsidRPr="00E103B2">
              <w:rPr>
                <w:rFonts w:ascii="Symbol" w:eastAsia="Symbol" w:hAnsi="Symbol" w:cs="Symbol"/>
                <w:b/>
                <w:color w:val="000000" w:themeColor="text1"/>
              </w:rPr>
              <w:t></w:t>
            </w:r>
            <w:r w:rsidRPr="00E103B2">
              <w:rPr>
                <w:b/>
                <w:color w:val="000000" w:themeColor="text1"/>
              </w:rPr>
              <w:t>l</w:t>
            </w:r>
          </w:p>
        </w:tc>
      </w:tr>
    </w:tbl>
    <w:p w14:paraId="329BE521" w14:textId="77777777" w:rsidR="00FE1EEA" w:rsidRPr="00E103B2" w:rsidRDefault="00FE1EEA" w:rsidP="003222FB">
      <w:pPr>
        <w:pStyle w:val="ListParagraph"/>
        <w:ind w:left="540"/>
        <w:rPr>
          <w:color w:val="000000" w:themeColor="text1"/>
          <w:sz w:val="18"/>
          <w:szCs w:val="18"/>
        </w:rPr>
      </w:pPr>
    </w:p>
    <w:p w14:paraId="66A96DB8" w14:textId="403ADAA9" w:rsidR="00FF3EA8" w:rsidRPr="00FF3EA8" w:rsidRDefault="00FF3EA8" w:rsidP="00CB59D4">
      <w:pPr>
        <w:pStyle w:val="ListParagraph"/>
        <w:numPr>
          <w:ilvl w:val="1"/>
          <w:numId w:val="7"/>
        </w:numPr>
        <w:ind w:left="540" w:hanging="540"/>
        <w:rPr>
          <w:color w:val="000000" w:themeColor="text1"/>
        </w:rPr>
      </w:pPr>
      <w:r>
        <w:rPr>
          <w:color w:val="000000" w:themeColor="text1"/>
        </w:rPr>
        <w:t xml:space="preserve">Prepare the </w:t>
      </w:r>
      <w:r w:rsidR="002336F4">
        <w:rPr>
          <w:color w:val="000000" w:themeColor="text1"/>
        </w:rPr>
        <w:t xml:space="preserve">Sample, Wash, and Elution plates </w:t>
      </w:r>
      <w:r>
        <w:rPr>
          <w:color w:val="000000" w:themeColor="text1"/>
        </w:rPr>
        <w:t>with the required reagents as listed above. Cover the plates to reduce evaporation and potential contamination.</w:t>
      </w:r>
    </w:p>
    <w:p w14:paraId="320E51B7" w14:textId="1670E48C" w:rsidR="00E103B2" w:rsidRPr="00E103B2" w:rsidRDefault="00E103B2" w:rsidP="00CB59D4">
      <w:pPr>
        <w:pStyle w:val="ListParagraph"/>
        <w:numPr>
          <w:ilvl w:val="1"/>
          <w:numId w:val="7"/>
        </w:numPr>
        <w:ind w:left="540" w:hanging="540"/>
        <w:rPr>
          <w:color w:val="000000" w:themeColor="text1"/>
        </w:rPr>
      </w:pPr>
      <w:r w:rsidRPr="00F83048">
        <w:rPr>
          <w:color w:val="000000" w:themeColor="text1"/>
        </w:rPr>
        <w:t xml:space="preserve">Pipet </w:t>
      </w:r>
      <w:r w:rsidRPr="00F83048">
        <w:rPr>
          <w:b/>
          <w:color w:val="000000" w:themeColor="text1"/>
        </w:rPr>
        <w:t>400</w:t>
      </w:r>
      <w:r w:rsidRPr="00F83048">
        <w:rPr>
          <w:color w:val="000000" w:themeColor="text1"/>
        </w:rPr>
        <w:t xml:space="preserve"> </w:t>
      </w:r>
      <w:r w:rsidRPr="00F83048">
        <w:rPr>
          <w:b/>
          <w:color w:val="000000" w:themeColor="text1"/>
        </w:rPr>
        <w:t xml:space="preserve">µl sample </w:t>
      </w:r>
      <w:r w:rsidRPr="00E103B2">
        <w:rPr>
          <w:color w:val="000000" w:themeColor="text1"/>
        </w:rPr>
        <w:t>(or PBS for NECs) into the Collection Microtube containing the Buffer ML</w:t>
      </w:r>
      <w:r w:rsidR="00D33077">
        <w:rPr>
          <w:color w:val="000000" w:themeColor="text1"/>
        </w:rPr>
        <w:t xml:space="preserve"> (80 </w:t>
      </w:r>
      <w:r w:rsidR="00D33077" w:rsidRPr="00D33077">
        <w:rPr>
          <w:rFonts w:ascii="Symbol" w:eastAsia="Symbol" w:hAnsi="Symbol" w:cs="Symbol"/>
          <w:color w:val="000000" w:themeColor="text1"/>
        </w:rPr>
        <w:t></w:t>
      </w:r>
      <w:r w:rsidR="00D33077" w:rsidRPr="00D33077">
        <w:rPr>
          <w:color w:val="000000" w:themeColor="text1"/>
        </w:rPr>
        <w:t xml:space="preserve">l, 480 </w:t>
      </w:r>
      <w:r w:rsidR="00D33077" w:rsidRPr="00D33077">
        <w:rPr>
          <w:rFonts w:ascii="Symbol" w:eastAsia="Symbol" w:hAnsi="Symbol" w:cs="Symbol"/>
          <w:color w:val="000000" w:themeColor="text1"/>
        </w:rPr>
        <w:t></w:t>
      </w:r>
      <w:r w:rsidR="00D33077" w:rsidRPr="00D33077">
        <w:rPr>
          <w:color w:val="000000" w:themeColor="text1"/>
        </w:rPr>
        <w:t>l total</w:t>
      </w:r>
      <w:r w:rsidR="00D33077">
        <w:rPr>
          <w:b/>
          <w:color w:val="000000" w:themeColor="text1"/>
        </w:rPr>
        <w:t>)</w:t>
      </w:r>
      <w:r w:rsidRPr="00E103B2">
        <w:rPr>
          <w:color w:val="000000" w:themeColor="text1"/>
        </w:rPr>
        <w:t xml:space="preserve"> mixture in a biological safety cabinet.</w:t>
      </w:r>
    </w:p>
    <w:p w14:paraId="3249DD33" w14:textId="77777777" w:rsidR="00E103B2" w:rsidRPr="00E103B2" w:rsidRDefault="00E103B2" w:rsidP="00E103B2">
      <w:pPr>
        <w:numPr>
          <w:ilvl w:val="1"/>
          <w:numId w:val="7"/>
        </w:numPr>
        <w:ind w:left="540" w:hanging="540"/>
        <w:rPr>
          <w:color w:val="000000" w:themeColor="text1"/>
        </w:rPr>
      </w:pPr>
      <w:r w:rsidRPr="00E103B2">
        <w:rPr>
          <w:color w:val="000000" w:themeColor="text1"/>
        </w:rPr>
        <w:t xml:space="preserve">After all samples and controls have been added to the tubes, re-cap the tubes with the clear plastic caps supplied with the </w:t>
      </w:r>
      <w:proofErr w:type="spellStart"/>
      <w:r w:rsidRPr="00E103B2">
        <w:rPr>
          <w:color w:val="000000" w:themeColor="text1"/>
        </w:rPr>
        <w:t>MagAttract</w:t>
      </w:r>
      <w:proofErr w:type="spellEnd"/>
      <w:r w:rsidRPr="00E103B2">
        <w:rPr>
          <w:color w:val="000000" w:themeColor="text1"/>
        </w:rPr>
        <w:t xml:space="preserve"> Mastitis kit. </w:t>
      </w:r>
    </w:p>
    <w:p w14:paraId="572FE474" w14:textId="77777777" w:rsidR="00E103B2" w:rsidRPr="00E103B2" w:rsidRDefault="00E103B2" w:rsidP="00E103B2">
      <w:pPr>
        <w:numPr>
          <w:ilvl w:val="1"/>
          <w:numId w:val="7"/>
        </w:numPr>
        <w:ind w:left="540" w:hanging="540"/>
        <w:rPr>
          <w:color w:val="000000" w:themeColor="text1"/>
        </w:rPr>
      </w:pPr>
      <w:r w:rsidRPr="00E103B2">
        <w:rPr>
          <w:color w:val="000000" w:themeColor="text1"/>
        </w:rPr>
        <w:t xml:space="preserve">Place a compression mat over the sealed bead tubes to prevent unnecessary movement and leaking when it is placed into the </w:t>
      </w:r>
      <w:proofErr w:type="spellStart"/>
      <w:r w:rsidRPr="00E103B2">
        <w:rPr>
          <w:color w:val="000000" w:themeColor="text1"/>
        </w:rPr>
        <w:t>BioSpec</w:t>
      </w:r>
      <w:proofErr w:type="spellEnd"/>
      <w:r w:rsidRPr="00E103B2">
        <w:rPr>
          <w:color w:val="000000" w:themeColor="text1"/>
        </w:rPr>
        <w:t>. Be sure the shiny side of the compression mat is facing up. Place the box lid over the compression mat.</w:t>
      </w:r>
    </w:p>
    <w:p w14:paraId="5E845503" w14:textId="77777777" w:rsidR="00CB59D4" w:rsidRPr="00E103B2" w:rsidRDefault="63AEE0EA" w:rsidP="00CB59D4">
      <w:pPr>
        <w:pStyle w:val="ListParagraph"/>
        <w:numPr>
          <w:ilvl w:val="1"/>
          <w:numId w:val="7"/>
        </w:numPr>
        <w:ind w:left="540" w:hanging="540"/>
        <w:rPr>
          <w:color w:val="000000" w:themeColor="text1"/>
        </w:rPr>
      </w:pPr>
      <w:r w:rsidRPr="00E103B2">
        <w:rPr>
          <w:color w:val="000000" w:themeColor="text1"/>
        </w:rPr>
        <w:t xml:space="preserve">Place the bead tube rack in the </w:t>
      </w:r>
      <w:proofErr w:type="spellStart"/>
      <w:r w:rsidRPr="00E103B2">
        <w:rPr>
          <w:color w:val="000000" w:themeColor="text1"/>
        </w:rPr>
        <w:t>BioSpec</w:t>
      </w:r>
      <w:proofErr w:type="spellEnd"/>
      <w:r w:rsidRPr="00E103B2">
        <w:rPr>
          <w:color w:val="000000" w:themeColor="text1"/>
        </w:rPr>
        <w:t xml:space="preserve"> with the rack lid facing towards you.</w:t>
      </w:r>
    </w:p>
    <w:p w14:paraId="15BE3580" w14:textId="77777777" w:rsidR="00CB59D4" w:rsidRPr="00E103B2" w:rsidRDefault="63AEE0EA" w:rsidP="00CB59D4">
      <w:pPr>
        <w:pStyle w:val="ListParagraph"/>
        <w:numPr>
          <w:ilvl w:val="1"/>
          <w:numId w:val="7"/>
        </w:numPr>
        <w:ind w:left="540" w:hanging="540"/>
        <w:rPr>
          <w:color w:val="000000" w:themeColor="text1"/>
        </w:rPr>
      </w:pPr>
      <w:r w:rsidRPr="00E103B2">
        <w:rPr>
          <w:color w:val="000000" w:themeColor="text1"/>
        </w:rPr>
        <w:t xml:space="preserve">Bead beat the samples for 2.5 min, rest for 5 min, and bead beat for an additional 2.5 min. Be sure to switch off and unplug the </w:t>
      </w:r>
      <w:proofErr w:type="spellStart"/>
      <w:r w:rsidRPr="00E103B2">
        <w:rPr>
          <w:color w:val="000000" w:themeColor="text1"/>
        </w:rPr>
        <w:t>BioSpec</w:t>
      </w:r>
      <w:proofErr w:type="spellEnd"/>
      <w:r w:rsidRPr="00E103B2">
        <w:rPr>
          <w:color w:val="000000" w:themeColor="text1"/>
        </w:rPr>
        <w:t xml:space="preserve">. </w:t>
      </w:r>
    </w:p>
    <w:p w14:paraId="3D172812" w14:textId="77777777" w:rsidR="00CB59D4" w:rsidRPr="00E103B2" w:rsidRDefault="63AEE0EA" w:rsidP="63AEE0EA">
      <w:pPr>
        <w:pStyle w:val="NoSpacing"/>
        <w:numPr>
          <w:ilvl w:val="1"/>
          <w:numId w:val="7"/>
        </w:numPr>
        <w:ind w:left="540" w:hanging="540"/>
        <w:rPr>
          <w:color w:val="000000" w:themeColor="text1"/>
        </w:rPr>
      </w:pPr>
      <w:r w:rsidRPr="00E103B2">
        <w:rPr>
          <w:color w:val="000000" w:themeColor="text1"/>
        </w:rPr>
        <w:t xml:space="preserve">Centrifuge samples at 2,500 rpm for 5 min, using Program 3 on the </w:t>
      </w:r>
      <w:proofErr w:type="spellStart"/>
      <w:r w:rsidRPr="00E103B2">
        <w:rPr>
          <w:color w:val="000000" w:themeColor="text1"/>
        </w:rPr>
        <w:t>Sorvall</w:t>
      </w:r>
      <w:proofErr w:type="spellEnd"/>
      <w:r w:rsidRPr="00E103B2">
        <w:rPr>
          <w:color w:val="000000" w:themeColor="text1"/>
        </w:rPr>
        <w:t xml:space="preserve"> RG3 centrifuge.</w:t>
      </w:r>
    </w:p>
    <w:p w14:paraId="3C6919B3" w14:textId="75FE12AE" w:rsidR="00CB59D4" w:rsidRDefault="00E103B2" w:rsidP="63AEE0EA">
      <w:pPr>
        <w:pStyle w:val="NoSpacing"/>
        <w:numPr>
          <w:ilvl w:val="1"/>
          <w:numId w:val="7"/>
        </w:numPr>
        <w:tabs>
          <w:tab w:val="left" w:pos="540"/>
        </w:tabs>
        <w:ind w:left="540" w:hanging="540"/>
        <w:rPr>
          <w:color w:val="000000" w:themeColor="text1"/>
        </w:rPr>
      </w:pPr>
      <w:r w:rsidRPr="00E103B2">
        <w:rPr>
          <w:color w:val="000000" w:themeColor="text1"/>
        </w:rPr>
        <w:t>Carefully r</w:t>
      </w:r>
      <w:r w:rsidR="63AEE0EA" w:rsidRPr="00E103B2">
        <w:rPr>
          <w:color w:val="000000" w:themeColor="text1"/>
        </w:rPr>
        <w:t>emove the caps from the tubes. Discard the caps into the waste container.</w:t>
      </w:r>
    </w:p>
    <w:p w14:paraId="726A5785" w14:textId="50C39603" w:rsidR="002336F4" w:rsidRPr="002336F4" w:rsidRDefault="002336F4" w:rsidP="63AEE0EA">
      <w:pPr>
        <w:pStyle w:val="NoSpacing"/>
        <w:numPr>
          <w:ilvl w:val="1"/>
          <w:numId w:val="7"/>
        </w:numPr>
        <w:tabs>
          <w:tab w:val="left" w:pos="540"/>
        </w:tabs>
        <w:ind w:left="540" w:hanging="540"/>
        <w:rPr>
          <w:color w:val="000000" w:themeColor="text1"/>
        </w:rPr>
      </w:pPr>
      <w:r>
        <w:rPr>
          <w:color w:val="000000" w:themeColor="text1"/>
        </w:rPr>
        <w:t xml:space="preserve">Transfer as much of the </w:t>
      </w:r>
      <w:r w:rsidRPr="00D33077">
        <w:rPr>
          <w:b/>
          <w:color w:val="000000" w:themeColor="text1"/>
        </w:rPr>
        <w:t>420 µl</w:t>
      </w:r>
      <w:r>
        <w:rPr>
          <w:color w:val="000000" w:themeColor="text1"/>
        </w:rPr>
        <w:t xml:space="preserve"> lysate to the deep well plate containing MVL mixture, labelled “</w:t>
      </w:r>
      <w:r w:rsidRPr="002336F4">
        <w:rPr>
          <w:color w:val="000000" w:themeColor="text1"/>
        </w:rPr>
        <w:t>Sample plate” in the table above. Transfer of small quantities of glass beads will not affect the procedure.</w:t>
      </w:r>
    </w:p>
    <w:p w14:paraId="46B1BDE7" w14:textId="43A22C59" w:rsidR="00CB59D4" w:rsidRPr="009E7D33" w:rsidRDefault="002336F4" w:rsidP="00CB59D4">
      <w:pPr>
        <w:pStyle w:val="NoSpacing"/>
        <w:numPr>
          <w:ilvl w:val="1"/>
          <w:numId w:val="7"/>
        </w:numPr>
        <w:tabs>
          <w:tab w:val="left" w:pos="540"/>
        </w:tabs>
        <w:ind w:left="540" w:right="-360" w:hanging="540"/>
        <w:rPr>
          <w:color w:val="000000" w:themeColor="text1"/>
        </w:rPr>
      </w:pPr>
      <w:r w:rsidRPr="002336F4">
        <w:rPr>
          <w:color w:val="000000" w:themeColor="text1"/>
        </w:rPr>
        <w:t xml:space="preserve">Turn on the </w:t>
      </w:r>
      <w:proofErr w:type="spellStart"/>
      <w:r w:rsidR="005A3605" w:rsidRPr="002336F4">
        <w:rPr>
          <w:color w:val="000000" w:themeColor="text1"/>
        </w:rPr>
        <w:t>MagMAX</w:t>
      </w:r>
      <w:proofErr w:type="spellEnd"/>
      <w:r w:rsidR="005A3605" w:rsidRPr="002336F4">
        <w:rPr>
          <w:color w:val="000000" w:themeColor="text1"/>
        </w:rPr>
        <w:t xml:space="preserve"> </w:t>
      </w:r>
      <w:r w:rsidR="00845ED4" w:rsidRPr="002336F4">
        <w:rPr>
          <w:color w:val="000000" w:themeColor="text1"/>
        </w:rPr>
        <w:t>Flex</w:t>
      </w:r>
      <w:r w:rsidR="63AEE0EA" w:rsidRPr="002336F4">
        <w:rPr>
          <w:color w:val="000000" w:themeColor="text1"/>
        </w:rPr>
        <w:t xml:space="preserve">. Push the up </w:t>
      </w:r>
      <w:r w:rsidR="63AEE0EA" w:rsidRPr="009E7D33">
        <w:rPr>
          <w:color w:val="000000" w:themeColor="text1"/>
        </w:rPr>
        <w:t>arrow to select “</w:t>
      </w:r>
      <w:proofErr w:type="spellStart"/>
      <w:r w:rsidR="009E7D33" w:rsidRPr="009E7D33">
        <w:rPr>
          <w:color w:val="000000" w:themeColor="text1"/>
        </w:rPr>
        <w:t>KF_Flex_mastitis</w:t>
      </w:r>
      <w:proofErr w:type="spellEnd"/>
      <w:r w:rsidR="005A3605" w:rsidRPr="009E7D33">
        <w:rPr>
          <w:color w:val="000000" w:themeColor="text1"/>
        </w:rPr>
        <w:t xml:space="preserve">” program (for </w:t>
      </w:r>
      <w:proofErr w:type="spellStart"/>
      <w:r w:rsidR="005A3605" w:rsidRPr="009E7D33">
        <w:rPr>
          <w:color w:val="000000" w:themeColor="text1"/>
        </w:rPr>
        <w:t>MagMAX</w:t>
      </w:r>
      <w:proofErr w:type="spellEnd"/>
      <w:r w:rsidR="005A3605" w:rsidRPr="009E7D33">
        <w:rPr>
          <w:color w:val="000000" w:themeColor="text1"/>
        </w:rPr>
        <w:t xml:space="preserve"> Flex) and </w:t>
      </w:r>
      <w:r w:rsidR="63AEE0EA" w:rsidRPr="009E7D33">
        <w:rPr>
          <w:color w:val="000000" w:themeColor="text1"/>
        </w:rPr>
        <w:t>then push start.</w:t>
      </w:r>
    </w:p>
    <w:p w14:paraId="2BCF2927" w14:textId="77777777" w:rsidR="00CB59D4" w:rsidRPr="009E7D33" w:rsidRDefault="63AEE0EA" w:rsidP="00CB59D4">
      <w:pPr>
        <w:pStyle w:val="NoSpacing"/>
        <w:numPr>
          <w:ilvl w:val="1"/>
          <w:numId w:val="7"/>
        </w:numPr>
        <w:tabs>
          <w:tab w:val="left" w:pos="540"/>
        </w:tabs>
        <w:ind w:left="540" w:right="-360" w:hanging="540"/>
        <w:rPr>
          <w:color w:val="000000" w:themeColor="text1"/>
        </w:rPr>
      </w:pPr>
      <w:r w:rsidRPr="009E7D33">
        <w:rPr>
          <w:color w:val="000000" w:themeColor="text1"/>
        </w:rPr>
        <w:t>Load each of the plates according to the display, pressing start after each plate is loaded. Be sure that the orientation of the plate is correct (A1 is in the A1 location).</w:t>
      </w:r>
    </w:p>
    <w:p w14:paraId="456A75AA" w14:textId="77777777" w:rsidR="00CB59D4" w:rsidRPr="009E7D33" w:rsidRDefault="63AEE0EA" w:rsidP="00CB59D4">
      <w:pPr>
        <w:pStyle w:val="NoSpacing"/>
        <w:numPr>
          <w:ilvl w:val="1"/>
          <w:numId w:val="7"/>
        </w:numPr>
        <w:ind w:left="540" w:hanging="540"/>
        <w:rPr>
          <w:color w:val="000000" w:themeColor="text1"/>
        </w:rPr>
      </w:pPr>
      <w:r w:rsidRPr="009E7D33">
        <w:rPr>
          <w:color w:val="000000" w:themeColor="text1"/>
        </w:rPr>
        <w:t>Press start and record usage in the log book.</w:t>
      </w:r>
    </w:p>
    <w:p w14:paraId="2030D2F3" w14:textId="74B2380B" w:rsidR="00CB59D4" w:rsidRPr="009E7D33" w:rsidRDefault="63AEE0EA" w:rsidP="00CB59D4">
      <w:pPr>
        <w:pStyle w:val="NoSpacing"/>
        <w:numPr>
          <w:ilvl w:val="1"/>
          <w:numId w:val="7"/>
        </w:numPr>
        <w:ind w:left="540" w:hanging="540"/>
        <w:rPr>
          <w:color w:val="000000" w:themeColor="text1"/>
        </w:rPr>
      </w:pPr>
      <w:r w:rsidRPr="009E7D33">
        <w:rPr>
          <w:color w:val="000000" w:themeColor="text1"/>
        </w:rPr>
        <w:t xml:space="preserve">The program runs </w:t>
      </w:r>
      <w:r w:rsidRPr="00F83048">
        <w:rPr>
          <w:color w:val="000000" w:themeColor="text1"/>
        </w:rPr>
        <w:t>approximately 2</w:t>
      </w:r>
      <w:r w:rsidR="00F83048" w:rsidRPr="00F83048">
        <w:rPr>
          <w:color w:val="000000" w:themeColor="text1"/>
        </w:rPr>
        <w:t>8</w:t>
      </w:r>
      <w:r w:rsidRPr="00F83048">
        <w:rPr>
          <w:color w:val="000000" w:themeColor="text1"/>
        </w:rPr>
        <w:t xml:space="preserve"> minutes. </w:t>
      </w:r>
      <w:r w:rsidRPr="009E7D33">
        <w:rPr>
          <w:color w:val="000000" w:themeColor="text1"/>
        </w:rPr>
        <w:t>The first plate to be removed is the Elution plate, which now contains the eluted DNA. Place a lid over this plate, label it with the worklist date, and seal it with parafilm. Place the plate with the eluted DNA on ice. All other plates can be place</w:t>
      </w:r>
      <w:r w:rsidR="004B0852" w:rsidRPr="009E7D33">
        <w:rPr>
          <w:color w:val="000000" w:themeColor="text1"/>
        </w:rPr>
        <w:t>d</w:t>
      </w:r>
      <w:r w:rsidRPr="009E7D33">
        <w:rPr>
          <w:color w:val="000000" w:themeColor="text1"/>
        </w:rPr>
        <w:t xml:space="preserve"> in a </w:t>
      </w:r>
      <w:proofErr w:type="spellStart"/>
      <w:r w:rsidRPr="009E7D33">
        <w:rPr>
          <w:color w:val="000000" w:themeColor="text1"/>
        </w:rPr>
        <w:t>ziplock</w:t>
      </w:r>
      <w:proofErr w:type="spellEnd"/>
      <w:r w:rsidRPr="009E7D33">
        <w:rPr>
          <w:color w:val="000000" w:themeColor="text1"/>
        </w:rPr>
        <w:t xml:space="preserve"> bag and discarded in the </w:t>
      </w:r>
      <w:r w:rsidR="000E25E2" w:rsidRPr="009E7D33">
        <w:rPr>
          <w:color w:val="000000" w:themeColor="text1"/>
        </w:rPr>
        <w:t>b</w:t>
      </w:r>
      <w:r w:rsidRPr="009E7D33">
        <w:rPr>
          <w:color w:val="000000" w:themeColor="text1"/>
        </w:rPr>
        <w:t>iohazard waste, with the exception of the unlabeled plate that held the comb, which can be reused.</w:t>
      </w:r>
    </w:p>
    <w:p w14:paraId="0C19861A" w14:textId="4A606125" w:rsidR="00CB59D4" w:rsidRPr="009E7D33" w:rsidRDefault="009E7D33" w:rsidP="00CB59D4">
      <w:pPr>
        <w:pStyle w:val="NoSpacing"/>
        <w:numPr>
          <w:ilvl w:val="1"/>
          <w:numId w:val="7"/>
        </w:numPr>
        <w:ind w:left="540" w:hanging="540"/>
        <w:rPr>
          <w:color w:val="000000" w:themeColor="text1"/>
        </w:rPr>
      </w:pPr>
      <w:r w:rsidRPr="009E7D33">
        <w:rPr>
          <w:color w:val="000000" w:themeColor="text1"/>
        </w:rPr>
        <w:t xml:space="preserve">Turn off the </w:t>
      </w:r>
      <w:proofErr w:type="spellStart"/>
      <w:r w:rsidR="00746E4A" w:rsidRPr="009E7D33">
        <w:rPr>
          <w:color w:val="000000" w:themeColor="text1"/>
        </w:rPr>
        <w:t>Mag</w:t>
      </w:r>
      <w:r w:rsidR="00853DE9" w:rsidRPr="009E7D33">
        <w:rPr>
          <w:color w:val="000000" w:themeColor="text1"/>
        </w:rPr>
        <w:t>MAX</w:t>
      </w:r>
      <w:proofErr w:type="spellEnd"/>
      <w:r w:rsidR="00853DE9" w:rsidRPr="009E7D33">
        <w:rPr>
          <w:color w:val="000000" w:themeColor="text1"/>
        </w:rPr>
        <w:t xml:space="preserve"> </w:t>
      </w:r>
      <w:r w:rsidR="00746E4A" w:rsidRPr="009E7D33">
        <w:rPr>
          <w:color w:val="000000" w:themeColor="text1"/>
        </w:rPr>
        <w:t>Flex</w:t>
      </w:r>
      <w:r w:rsidR="00D11BF1" w:rsidRPr="009E7D33">
        <w:rPr>
          <w:color w:val="000000" w:themeColor="text1"/>
        </w:rPr>
        <w:t xml:space="preserve"> </w:t>
      </w:r>
      <w:r w:rsidR="00746E4A" w:rsidRPr="009E7D33">
        <w:rPr>
          <w:color w:val="000000" w:themeColor="text1"/>
        </w:rPr>
        <w:t xml:space="preserve">and wipe down with </w:t>
      </w:r>
      <w:proofErr w:type="spellStart"/>
      <w:r w:rsidR="00746E4A" w:rsidRPr="009E7D33">
        <w:rPr>
          <w:color w:val="000000" w:themeColor="text1"/>
        </w:rPr>
        <w:t>DRNase</w:t>
      </w:r>
      <w:proofErr w:type="spellEnd"/>
      <w:r w:rsidR="00746E4A" w:rsidRPr="009E7D33">
        <w:rPr>
          <w:color w:val="000000" w:themeColor="text1"/>
        </w:rPr>
        <w:t xml:space="preserve"> Free solution</w:t>
      </w:r>
      <w:r w:rsidR="006627CD" w:rsidRPr="009E7D33">
        <w:rPr>
          <w:color w:val="000000" w:themeColor="text1"/>
        </w:rPr>
        <w:t>.</w:t>
      </w:r>
    </w:p>
    <w:p w14:paraId="4A3A5468" w14:textId="7DB013F4" w:rsidR="00CB59D4" w:rsidRPr="00761319" w:rsidRDefault="63AEE0EA" w:rsidP="00CB59D4">
      <w:pPr>
        <w:pStyle w:val="NoSpacing"/>
        <w:numPr>
          <w:ilvl w:val="1"/>
          <w:numId w:val="7"/>
        </w:numPr>
        <w:ind w:left="540" w:hanging="540"/>
        <w:rPr>
          <w:color w:val="00B0F0"/>
        </w:rPr>
      </w:pPr>
      <w:r w:rsidRPr="009E7D33">
        <w:rPr>
          <w:color w:val="000000" w:themeColor="text1"/>
        </w:rPr>
        <w:t xml:space="preserve">The elution plate can now be used to perform the PCR assay. </w:t>
      </w:r>
      <w:r w:rsidRPr="00761319">
        <w:rPr>
          <w:color w:val="00B0F0"/>
        </w:rPr>
        <w:t xml:space="preserve">The </w:t>
      </w:r>
      <w:r w:rsidR="00D11BF1" w:rsidRPr="00761319">
        <w:rPr>
          <w:color w:val="00B0F0"/>
        </w:rPr>
        <w:t xml:space="preserve">last </w:t>
      </w:r>
      <w:r w:rsidRPr="00761319">
        <w:rPr>
          <w:color w:val="00B0F0"/>
        </w:rPr>
        <w:t>person</w:t>
      </w:r>
      <w:r w:rsidR="00D11BF1" w:rsidRPr="00761319">
        <w:rPr>
          <w:color w:val="00B0F0"/>
        </w:rPr>
        <w:t xml:space="preserve"> to </w:t>
      </w:r>
      <w:r w:rsidRPr="00761319">
        <w:rPr>
          <w:color w:val="00B0F0"/>
        </w:rPr>
        <w:t>PCR from the elution plate</w:t>
      </w:r>
      <w:r w:rsidR="00D11BF1" w:rsidRPr="00761319">
        <w:rPr>
          <w:color w:val="00B0F0"/>
        </w:rPr>
        <w:t xml:space="preserve"> must cover the plate with parafilm and store in fridge overnight and by the </w:t>
      </w:r>
      <w:proofErr w:type="spellStart"/>
      <w:r w:rsidR="00D11BF1" w:rsidRPr="00761319">
        <w:rPr>
          <w:color w:val="00B0F0"/>
        </w:rPr>
        <w:t>endof</w:t>
      </w:r>
      <w:proofErr w:type="spellEnd"/>
      <w:r w:rsidR="00D11BF1" w:rsidRPr="00761319">
        <w:rPr>
          <w:color w:val="00B0F0"/>
        </w:rPr>
        <w:t xml:space="preserve"> second day the person who extracted the plate </w:t>
      </w:r>
      <w:r w:rsidRPr="00761319">
        <w:rPr>
          <w:color w:val="00B0F0"/>
        </w:rPr>
        <w:t>tightly seal</w:t>
      </w:r>
      <w:r w:rsidR="00D11BF1" w:rsidRPr="00761319">
        <w:rPr>
          <w:color w:val="00B0F0"/>
        </w:rPr>
        <w:t>s</w:t>
      </w:r>
      <w:r w:rsidRPr="00761319">
        <w:rPr>
          <w:color w:val="00B0F0"/>
        </w:rPr>
        <w:t xml:space="preserve"> the plate and cover with parafilm and </w:t>
      </w:r>
      <w:r w:rsidRPr="00761319">
        <w:rPr>
          <w:color w:val="00B0F0"/>
        </w:rPr>
        <w:lastRenderedPageBreak/>
        <w:t>store at -20°C. The elution plate is stored for 2 months after it has been created, unless specified otherwise.</w:t>
      </w:r>
    </w:p>
    <w:p w14:paraId="3AC50621" w14:textId="77777777" w:rsidR="00CB59D4" w:rsidRPr="00AE193A" w:rsidRDefault="00CB59D4" w:rsidP="00CB59D4">
      <w:pPr>
        <w:pStyle w:val="NoSpacing"/>
        <w:rPr>
          <w:sz w:val="20"/>
          <w:szCs w:val="20"/>
          <w:u w:val="single"/>
        </w:rPr>
      </w:pPr>
    </w:p>
    <w:p w14:paraId="2130F6E5" w14:textId="77777777" w:rsidR="0026304E" w:rsidRPr="0026304E" w:rsidRDefault="63AEE0EA" w:rsidP="0026304E">
      <w:pPr>
        <w:pStyle w:val="NoSpacing"/>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26304E">
        <w:rPr>
          <w:u w:val="single"/>
        </w:rPr>
        <w:t>References</w:t>
      </w:r>
    </w:p>
    <w:p w14:paraId="264BCB45" w14:textId="77777777" w:rsidR="00761319" w:rsidRDefault="00761319" w:rsidP="0076131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Qiagen </w:t>
      </w:r>
      <w:proofErr w:type="spellStart"/>
      <w:r>
        <w:t>MagAttract</w:t>
      </w:r>
      <w:proofErr w:type="spellEnd"/>
      <w:r>
        <w:t xml:space="preserve"> Mastitis Kit Handbook, October 2016</w:t>
      </w:r>
    </w:p>
    <w:p w14:paraId="44C1E87D" w14:textId="77777777" w:rsidR="00761319" w:rsidRDefault="00761319" w:rsidP="0076131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AAVLD Section 5.4 Test Methods</w:t>
      </w:r>
    </w:p>
    <w:p w14:paraId="5E00D5C1" w14:textId="77777777" w:rsidR="00761319" w:rsidRDefault="00761319" w:rsidP="00761319">
      <w:r>
        <w:t>ISO 17025 Section 5.4 Test Methods</w:t>
      </w:r>
    </w:p>
    <w:p w14:paraId="3856D118" w14:textId="07192710" w:rsidR="00CB59D4" w:rsidRDefault="00761319" w:rsidP="00CB59D4">
      <w:r>
        <w:t>AHDC QM Section 5.4 Test Methods</w:t>
      </w:r>
    </w:p>
    <w:p w14:paraId="75A068EC" w14:textId="77777777" w:rsidR="00CB59D4" w:rsidRDefault="00CB59D4" w:rsidP="00CB59D4"/>
    <w:p w14:paraId="25E61275" w14:textId="77777777" w:rsidR="00CB59D4" w:rsidRPr="00292071" w:rsidRDefault="63AEE0EA" w:rsidP="63AEE0EA">
      <w:pPr>
        <w:rPr>
          <w:b/>
          <w:bCs/>
        </w:rPr>
      </w:pPr>
      <w:r w:rsidRPr="63AEE0EA">
        <w:rPr>
          <w:u w:val="single"/>
        </w:rPr>
        <w:t>8.0 Changes from Previous Version</w:t>
      </w:r>
    </w:p>
    <w:p w14:paraId="36F519DD" w14:textId="6A2A61C1" w:rsidR="00DC02EC" w:rsidRPr="003F002A" w:rsidRDefault="00761319" w:rsidP="00735319">
      <w:pPr>
        <w:ind w:left="720" w:hanging="720"/>
      </w:pPr>
      <w:r>
        <w:t>New SOP</w:t>
      </w:r>
    </w:p>
    <w:sectPr w:rsidR="00DC02EC" w:rsidRPr="003F002A" w:rsidSect="00A01035">
      <w:headerReference w:type="default" r:id="rId12"/>
      <w:pgSz w:w="12240" w:h="15840"/>
      <w:pgMar w:top="1440" w:right="990" w:bottom="990" w:left="1080" w:header="720" w:footer="3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DD5C7" w14:textId="77777777" w:rsidR="00B5085C" w:rsidRDefault="00B5085C" w:rsidP="0014498C">
      <w:r>
        <w:separator/>
      </w:r>
    </w:p>
  </w:endnote>
  <w:endnote w:type="continuationSeparator" w:id="0">
    <w:p w14:paraId="38E699B6" w14:textId="77777777" w:rsidR="00B5085C" w:rsidRDefault="00B5085C" w:rsidP="0014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E5915" w14:textId="77777777" w:rsidR="00B5085C" w:rsidRDefault="00B5085C" w:rsidP="0014498C">
      <w:r>
        <w:separator/>
      </w:r>
    </w:p>
  </w:footnote>
  <w:footnote w:type="continuationSeparator" w:id="0">
    <w:p w14:paraId="63E4D906" w14:textId="77777777" w:rsidR="00B5085C" w:rsidRDefault="00B5085C" w:rsidP="00144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8" w:type="dxa"/>
      <w:tblBorders>
        <w:bottom w:val="single" w:sz="4" w:space="0" w:color="auto"/>
      </w:tblBorders>
      <w:tblLook w:val="00A0" w:firstRow="1" w:lastRow="0" w:firstColumn="1" w:lastColumn="0" w:noHBand="0" w:noVBand="0"/>
    </w:tblPr>
    <w:tblGrid>
      <w:gridCol w:w="6307"/>
      <w:gridCol w:w="3191"/>
    </w:tblGrid>
    <w:tr w:rsidR="00CF6FF5" w14:paraId="36F519EA" w14:textId="77777777" w:rsidTr="63AEE0EA">
      <w:trPr>
        <w:trHeight w:val="839"/>
      </w:trPr>
      <w:tc>
        <w:tcPr>
          <w:tcW w:w="6307" w:type="dxa"/>
          <w:tcBorders>
            <w:bottom w:val="double" w:sz="4" w:space="0" w:color="auto"/>
          </w:tcBorders>
        </w:tcPr>
        <w:p w14:paraId="36F519E2" w14:textId="77777777" w:rsidR="00CF6FF5" w:rsidRDefault="63AEE0EA" w:rsidP="63AEE0EA">
          <w:pPr>
            <w:pStyle w:val="Header"/>
            <w:rPr>
              <w:b/>
              <w:bCs/>
              <w:sz w:val="36"/>
              <w:szCs w:val="36"/>
            </w:rPr>
          </w:pPr>
          <w:r w:rsidRPr="63AEE0EA">
            <w:rPr>
              <w:b/>
              <w:bCs/>
              <w:sz w:val="36"/>
              <w:szCs w:val="36"/>
            </w:rPr>
            <w:t>Animal Health Diagnostic Center</w:t>
          </w:r>
        </w:p>
        <w:p w14:paraId="36F519E3" w14:textId="660193CE" w:rsidR="00CF6FF5" w:rsidRPr="00D70043" w:rsidRDefault="63AEE0EA" w:rsidP="63AEE0EA">
          <w:pPr>
            <w:ind w:right="-360"/>
            <w:rPr>
              <w:sz w:val="20"/>
              <w:szCs w:val="20"/>
            </w:rPr>
          </w:pPr>
          <w:r w:rsidRPr="63AEE0EA">
            <w:rPr>
              <w:sz w:val="20"/>
              <w:szCs w:val="20"/>
            </w:rPr>
            <w:t xml:space="preserve">Title: </w:t>
          </w:r>
          <w:proofErr w:type="spellStart"/>
          <w:r w:rsidR="00761319">
            <w:rPr>
              <w:sz w:val="20"/>
              <w:szCs w:val="20"/>
            </w:rPr>
            <w:t>MagAttract</w:t>
          </w:r>
          <w:proofErr w:type="spellEnd"/>
          <w:r w:rsidR="00761319">
            <w:rPr>
              <w:sz w:val="20"/>
              <w:szCs w:val="20"/>
            </w:rPr>
            <w:t xml:space="preserve"> Mastitis Kit SOP in Development</w:t>
          </w:r>
          <w:r w:rsidR="00D06B79">
            <w:rPr>
              <w:sz w:val="20"/>
              <w:szCs w:val="20"/>
            </w:rPr>
            <w:t xml:space="preserve"> </w:t>
          </w:r>
          <w:r w:rsidRPr="63AEE0EA">
            <w:rPr>
              <w:sz w:val="20"/>
              <w:szCs w:val="20"/>
            </w:rPr>
            <w:t xml:space="preserve"> </w:t>
          </w:r>
        </w:p>
        <w:p w14:paraId="36F519E4" w14:textId="6577FD61" w:rsidR="00CF6FF5" w:rsidRDefault="63AEE0EA" w:rsidP="63AEE0EA">
          <w:pPr>
            <w:pStyle w:val="Header"/>
            <w:rPr>
              <w:sz w:val="20"/>
              <w:szCs w:val="20"/>
            </w:rPr>
          </w:pPr>
          <w:r w:rsidRPr="63AEE0EA">
            <w:rPr>
              <w:sz w:val="20"/>
              <w:szCs w:val="20"/>
            </w:rPr>
            <w:t>Document Code:</w:t>
          </w:r>
          <w:r w:rsidR="00735319">
            <w:rPr>
              <w:sz w:val="20"/>
              <w:szCs w:val="20"/>
            </w:rPr>
            <w:t xml:space="preserve"> </w:t>
          </w:r>
          <w:r w:rsidR="00761319">
            <w:rPr>
              <w:sz w:val="20"/>
              <w:szCs w:val="20"/>
            </w:rPr>
            <w:t xml:space="preserve"> </w:t>
          </w:r>
        </w:p>
        <w:p w14:paraId="36F519E5" w14:textId="0BDE0879" w:rsidR="00CF6FF5" w:rsidRPr="00B71C83" w:rsidRDefault="63AEE0EA" w:rsidP="63AEE0EA">
          <w:pPr>
            <w:pStyle w:val="Header"/>
            <w:rPr>
              <w:sz w:val="20"/>
              <w:szCs w:val="20"/>
            </w:rPr>
          </w:pPr>
          <w:r w:rsidRPr="63AEE0EA">
            <w:rPr>
              <w:sz w:val="20"/>
              <w:szCs w:val="20"/>
            </w:rPr>
            <w:t xml:space="preserve">Authorization: </w:t>
          </w:r>
          <w:r w:rsidR="00761319">
            <w:rPr>
              <w:sz w:val="20"/>
              <w:szCs w:val="20"/>
            </w:rPr>
            <w:t xml:space="preserve"> </w:t>
          </w:r>
        </w:p>
        <w:p w14:paraId="36F519E6" w14:textId="77777777" w:rsidR="00CF6FF5" w:rsidRDefault="00CF6FF5" w:rsidP="00CF6FF5">
          <w:pPr>
            <w:pStyle w:val="Header"/>
            <w:rPr>
              <w:sz w:val="20"/>
              <w:szCs w:val="20"/>
            </w:rPr>
          </w:pPr>
        </w:p>
      </w:tc>
      <w:tc>
        <w:tcPr>
          <w:tcW w:w="3191" w:type="dxa"/>
          <w:tcBorders>
            <w:bottom w:val="double" w:sz="4" w:space="0" w:color="auto"/>
          </w:tcBorders>
        </w:tcPr>
        <w:p w14:paraId="36F519E7" w14:textId="77777777" w:rsidR="00CF6FF5" w:rsidRDefault="63AEE0EA" w:rsidP="63AEE0EA">
          <w:pPr>
            <w:pStyle w:val="Header"/>
            <w:jc w:val="right"/>
            <w:rPr>
              <w:sz w:val="20"/>
              <w:szCs w:val="20"/>
            </w:rPr>
          </w:pPr>
          <w:r w:rsidRPr="63AEE0EA">
            <w:rPr>
              <w:sz w:val="20"/>
              <w:szCs w:val="20"/>
            </w:rPr>
            <w:t xml:space="preserve">Page </w:t>
          </w:r>
          <w:r w:rsidR="00CF6FF5" w:rsidRPr="63AEE0EA">
            <w:rPr>
              <w:noProof/>
              <w:sz w:val="20"/>
              <w:szCs w:val="20"/>
            </w:rPr>
            <w:fldChar w:fldCharType="begin"/>
          </w:r>
          <w:r w:rsidR="00CF6FF5" w:rsidRPr="63AEE0EA">
            <w:rPr>
              <w:noProof/>
              <w:sz w:val="20"/>
              <w:szCs w:val="20"/>
            </w:rPr>
            <w:instrText xml:space="preserve"> PAGE </w:instrText>
          </w:r>
          <w:r w:rsidR="00CF6FF5" w:rsidRPr="63AEE0EA">
            <w:rPr>
              <w:noProof/>
              <w:sz w:val="20"/>
              <w:szCs w:val="20"/>
            </w:rPr>
            <w:fldChar w:fldCharType="separate"/>
          </w:r>
          <w:r w:rsidR="00D33077">
            <w:rPr>
              <w:noProof/>
              <w:sz w:val="20"/>
              <w:szCs w:val="20"/>
            </w:rPr>
            <w:t>3</w:t>
          </w:r>
          <w:r w:rsidR="00CF6FF5" w:rsidRPr="63AEE0EA">
            <w:rPr>
              <w:noProof/>
              <w:sz w:val="20"/>
              <w:szCs w:val="20"/>
            </w:rPr>
            <w:fldChar w:fldCharType="end"/>
          </w:r>
          <w:r w:rsidRPr="63AEE0EA">
            <w:rPr>
              <w:sz w:val="20"/>
              <w:szCs w:val="20"/>
            </w:rPr>
            <w:t xml:space="preserve"> of </w:t>
          </w:r>
          <w:r w:rsidR="00CF6FF5" w:rsidRPr="63AEE0EA">
            <w:rPr>
              <w:noProof/>
              <w:sz w:val="20"/>
              <w:szCs w:val="20"/>
            </w:rPr>
            <w:fldChar w:fldCharType="begin"/>
          </w:r>
          <w:r w:rsidR="00CF6FF5" w:rsidRPr="63AEE0EA">
            <w:rPr>
              <w:noProof/>
              <w:sz w:val="20"/>
              <w:szCs w:val="20"/>
            </w:rPr>
            <w:instrText xml:space="preserve"> NUMPAGES </w:instrText>
          </w:r>
          <w:r w:rsidR="00CF6FF5" w:rsidRPr="63AEE0EA">
            <w:rPr>
              <w:noProof/>
              <w:sz w:val="20"/>
              <w:szCs w:val="20"/>
            </w:rPr>
            <w:fldChar w:fldCharType="separate"/>
          </w:r>
          <w:r w:rsidR="00D33077">
            <w:rPr>
              <w:noProof/>
              <w:sz w:val="20"/>
              <w:szCs w:val="20"/>
            </w:rPr>
            <w:t>3</w:t>
          </w:r>
          <w:r w:rsidR="00CF6FF5" w:rsidRPr="63AEE0EA">
            <w:rPr>
              <w:noProof/>
              <w:sz w:val="20"/>
              <w:szCs w:val="20"/>
            </w:rPr>
            <w:fldChar w:fldCharType="end"/>
          </w:r>
        </w:p>
        <w:p w14:paraId="36F519E9" w14:textId="2E9003DC" w:rsidR="00CF6FF5" w:rsidRDefault="63AEE0EA" w:rsidP="00227D74">
          <w:pPr>
            <w:pStyle w:val="Header"/>
            <w:jc w:val="right"/>
            <w:rPr>
              <w:sz w:val="20"/>
              <w:szCs w:val="20"/>
            </w:rPr>
          </w:pPr>
          <w:r w:rsidRPr="63AEE0EA">
            <w:rPr>
              <w:sz w:val="20"/>
              <w:szCs w:val="20"/>
            </w:rPr>
            <w:t>Issue Date:</w:t>
          </w:r>
          <w:r w:rsidR="00CF6FF5">
            <w:rPr>
              <w:sz w:val="20"/>
              <w:szCs w:val="20"/>
            </w:rPr>
            <w:t xml:space="preserve">    </w:t>
          </w:r>
        </w:p>
      </w:tc>
    </w:tr>
  </w:tbl>
  <w:p w14:paraId="36F519EB" w14:textId="77777777" w:rsidR="00DC02EC" w:rsidRPr="00D865CC" w:rsidRDefault="00DC02EC" w:rsidP="00A0341A">
    <w:pPr>
      <w:pStyle w:val="Header"/>
      <w:tabs>
        <w:tab w:val="clear" w:pos="4680"/>
        <w:tab w:val="clear" w:pos="9360"/>
        <w:tab w:val="right" w:pos="10350"/>
        <w:tab w:val="center" w:pos="10440"/>
      </w:tabs>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07543"/>
    <w:multiLevelType w:val="multilevel"/>
    <w:tmpl w:val="A3FA4A4E"/>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2D363B8C"/>
    <w:multiLevelType w:val="multilevel"/>
    <w:tmpl w:val="54E8A69E"/>
    <w:lvl w:ilvl="0">
      <w:start w:val="5"/>
      <w:numFmt w:val="decimal"/>
      <w:lvlText w:val="%1"/>
      <w:lvlJc w:val="left"/>
      <w:pPr>
        <w:tabs>
          <w:tab w:val="num" w:pos="720"/>
        </w:tabs>
        <w:ind w:left="720" w:hanging="720"/>
      </w:pPr>
      <w:rPr>
        <w:rFonts w:hint="default"/>
      </w:rPr>
    </w:lvl>
    <w:lvl w:ilv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42A56B88"/>
    <w:multiLevelType w:val="multilevel"/>
    <w:tmpl w:val="1BB07FD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43F95A21"/>
    <w:multiLevelType w:val="multilevel"/>
    <w:tmpl w:val="BBFE8230"/>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26B27B9"/>
    <w:multiLevelType w:val="hybridMultilevel"/>
    <w:tmpl w:val="50C0328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65A682B"/>
    <w:multiLevelType w:val="multilevel"/>
    <w:tmpl w:val="B43024B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A1B5D40"/>
    <w:multiLevelType w:val="multilevel"/>
    <w:tmpl w:val="3B3E2AA8"/>
    <w:lvl w:ilvl="0">
      <w:start w:val="4"/>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7" w15:restartNumberingAfterBreak="0">
    <w:nsid w:val="72143EFA"/>
    <w:multiLevelType w:val="multilevel"/>
    <w:tmpl w:val="A71679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D2244D4"/>
    <w:multiLevelType w:val="hybridMultilevel"/>
    <w:tmpl w:val="FC7848F0"/>
    <w:lvl w:ilvl="0" w:tplc="33B2A4A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7"/>
  </w:num>
  <w:num w:numId="2">
    <w:abstractNumId w:val="4"/>
  </w:num>
  <w:num w:numId="3">
    <w:abstractNumId w:val="8"/>
  </w:num>
  <w:num w:numId="4">
    <w:abstractNumId w:val="2"/>
  </w:num>
  <w:num w:numId="5">
    <w:abstractNumId w:val="1"/>
  </w:num>
  <w:num w:numId="6">
    <w:abstractNumId w:val="3"/>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98C"/>
    <w:rsid w:val="000331E8"/>
    <w:rsid w:val="00051BBA"/>
    <w:rsid w:val="00057A1E"/>
    <w:rsid w:val="00065572"/>
    <w:rsid w:val="00065883"/>
    <w:rsid w:val="00065B4F"/>
    <w:rsid w:val="000738E9"/>
    <w:rsid w:val="000B37B1"/>
    <w:rsid w:val="000B41C0"/>
    <w:rsid w:val="000B4A23"/>
    <w:rsid w:val="000C4901"/>
    <w:rsid w:val="000D04C0"/>
    <w:rsid w:val="000D1E99"/>
    <w:rsid w:val="000D3B75"/>
    <w:rsid w:val="000E25E2"/>
    <w:rsid w:val="000E3548"/>
    <w:rsid w:val="000F07A6"/>
    <w:rsid w:val="000F1006"/>
    <w:rsid w:val="000F2553"/>
    <w:rsid w:val="00101314"/>
    <w:rsid w:val="001014E9"/>
    <w:rsid w:val="0010624A"/>
    <w:rsid w:val="00123092"/>
    <w:rsid w:val="00125668"/>
    <w:rsid w:val="00126FE2"/>
    <w:rsid w:val="00127475"/>
    <w:rsid w:val="0014498C"/>
    <w:rsid w:val="00145E9A"/>
    <w:rsid w:val="00165D37"/>
    <w:rsid w:val="00173056"/>
    <w:rsid w:val="001741A9"/>
    <w:rsid w:val="00183F91"/>
    <w:rsid w:val="001926BD"/>
    <w:rsid w:val="001968CB"/>
    <w:rsid w:val="00196A22"/>
    <w:rsid w:val="001A4496"/>
    <w:rsid w:val="001E5869"/>
    <w:rsid w:val="001E7480"/>
    <w:rsid w:val="001F40CF"/>
    <w:rsid w:val="001F5151"/>
    <w:rsid w:val="001F5744"/>
    <w:rsid w:val="001F61D0"/>
    <w:rsid w:val="0020166A"/>
    <w:rsid w:val="00227D74"/>
    <w:rsid w:val="00232290"/>
    <w:rsid w:val="002336F4"/>
    <w:rsid w:val="00236480"/>
    <w:rsid w:val="00240403"/>
    <w:rsid w:val="00252D89"/>
    <w:rsid w:val="00256BC6"/>
    <w:rsid w:val="0026304E"/>
    <w:rsid w:val="00264D9D"/>
    <w:rsid w:val="00275325"/>
    <w:rsid w:val="00277B91"/>
    <w:rsid w:val="002D5425"/>
    <w:rsid w:val="002D58E5"/>
    <w:rsid w:val="002F5D54"/>
    <w:rsid w:val="00316718"/>
    <w:rsid w:val="003222FB"/>
    <w:rsid w:val="003314E4"/>
    <w:rsid w:val="00334D48"/>
    <w:rsid w:val="003549BB"/>
    <w:rsid w:val="00362E0E"/>
    <w:rsid w:val="003B1DCD"/>
    <w:rsid w:val="003F002A"/>
    <w:rsid w:val="003F2B8C"/>
    <w:rsid w:val="003F64A3"/>
    <w:rsid w:val="003F6B90"/>
    <w:rsid w:val="004005C5"/>
    <w:rsid w:val="004214B9"/>
    <w:rsid w:val="00497C34"/>
    <w:rsid w:val="004A4285"/>
    <w:rsid w:val="004B0852"/>
    <w:rsid w:val="004C246E"/>
    <w:rsid w:val="004D6A1A"/>
    <w:rsid w:val="004F4F81"/>
    <w:rsid w:val="004F5375"/>
    <w:rsid w:val="00512741"/>
    <w:rsid w:val="00515FD0"/>
    <w:rsid w:val="00520440"/>
    <w:rsid w:val="00533FD2"/>
    <w:rsid w:val="0054065F"/>
    <w:rsid w:val="0054426F"/>
    <w:rsid w:val="00570849"/>
    <w:rsid w:val="005727E0"/>
    <w:rsid w:val="00572E5E"/>
    <w:rsid w:val="00584359"/>
    <w:rsid w:val="005905F5"/>
    <w:rsid w:val="00591F1F"/>
    <w:rsid w:val="005A2D6C"/>
    <w:rsid w:val="005A3605"/>
    <w:rsid w:val="005A5B92"/>
    <w:rsid w:val="005C256B"/>
    <w:rsid w:val="005C6B94"/>
    <w:rsid w:val="005D3E05"/>
    <w:rsid w:val="005D602E"/>
    <w:rsid w:val="005E3E3D"/>
    <w:rsid w:val="006071E6"/>
    <w:rsid w:val="00625A65"/>
    <w:rsid w:val="00630DAF"/>
    <w:rsid w:val="006331A5"/>
    <w:rsid w:val="00646B62"/>
    <w:rsid w:val="006627CD"/>
    <w:rsid w:val="00690BF1"/>
    <w:rsid w:val="006A7565"/>
    <w:rsid w:val="006B51CF"/>
    <w:rsid w:val="006C062B"/>
    <w:rsid w:val="006C440F"/>
    <w:rsid w:val="006D393E"/>
    <w:rsid w:val="006D7580"/>
    <w:rsid w:val="006F0730"/>
    <w:rsid w:val="006F64F7"/>
    <w:rsid w:val="007105E8"/>
    <w:rsid w:val="00735319"/>
    <w:rsid w:val="00741478"/>
    <w:rsid w:val="00742445"/>
    <w:rsid w:val="007436E3"/>
    <w:rsid w:val="0074516E"/>
    <w:rsid w:val="007465B2"/>
    <w:rsid w:val="00746E4A"/>
    <w:rsid w:val="00752338"/>
    <w:rsid w:val="00761319"/>
    <w:rsid w:val="007763D5"/>
    <w:rsid w:val="007A0676"/>
    <w:rsid w:val="007A15D2"/>
    <w:rsid w:val="007A1694"/>
    <w:rsid w:val="007A463B"/>
    <w:rsid w:val="007B4E2B"/>
    <w:rsid w:val="007C5698"/>
    <w:rsid w:val="007C7CED"/>
    <w:rsid w:val="007F5BF8"/>
    <w:rsid w:val="008123F9"/>
    <w:rsid w:val="00844772"/>
    <w:rsid w:val="00845ED4"/>
    <w:rsid w:val="00846EAF"/>
    <w:rsid w:val="008514FF"/>
    <w:rsid w:val="008526FB"/>
    <w:rsid w:val="00853DE9"/>
    <w:rsid w:val="008639FE"/>
    <w:rsid w:val="00871A59"/>
    <w:rsid w:val="00874BFB"/>
    <w:rsid w:val="008773AA"/>
    <w:rsid w:val="00885C45"/>
    <w:rsid w:val="00890665"/>
    <w:rsid w:val="008B04DB"/>
    <w:rsid w:val="008B3D35"/>
    <w:rsid w:val="008C3997"/>
    <w:rsid w:val="008D5543"/>
    <w:rsid w:val="008E62ED"/>
    <w:rsid w:val="008F2FC2"/>
    <w:rsid w:val="009018B2"/>
    <w:rsid w:val="0090484B"/>
    <w:rsid w:val="009110B0"/>
    <w:rsid w:val="009242AB"/>
    <w:rsid w:val="00927249"/>
    <w:rsid w:val="00945288"/>
    <w:rsid w:val="009476CC"/>
    <w:rsid w:val="00947AF0"/>
    <w:rsid w:val="009513FC"/>
    <w:rsid w:val="00956EB9"/>
    <w:rsid w:val="00980778"/>
    <w:rsid w:val="00997499"/>
    <w:rsid w:val="009A0423"/>
    <w:rsid w:val="009A26CA"/>
    <w:rsid w:val="009B7E9C"/>
    <w:rsid w:val="009D2205"/>
    <w:rsid w:val="009E7155"/>
    <w:rsid w:val="009E7D33"/>
    <w:rsid w:val="00A01035"/>
    <w:rsid w:val="00A0341A"/>
    <w:rsid w:val="00A177AF"/>
    <w:rsid w:val="00A24FE9"/>
    <w:rsid w:val="00A356B7"/>
    <w:rsid w:val="00A3657C"/>
    <w:rsid w:val="00A42526"/>
    <w:rsid w:val="00A467DD"/>
    <w:rsid w:val="00A6648A"/>
    <w:rsid w:val="00A94DAD"/>
    <w:rsid w:val="00AA025E"/>
    <w:rsid w:val="00AB0018"/>
    <w:rsid w:val="00AC261F"/>
    <w:rsid w:val="00AC6035"/>
    <w:rsid w:val="00AC7D26"/>
    <w:rsid w:val="00AE034C"/>
    <w:rsid w:val="00AE193A"/>
    <w:rsid w:val="00AE7DE5"/>
    <w:rsid w:val="00AF34A7"/>
    <w:rsid w:val="00AF38AB"/>
    <w:rsid w:val="00B02B4C"/>
    <w:rsid w:val="00B044B4"/>
    <w:rsid w:val="00B04C6C"/>
    <w:rsid w:val="00B4031B"/>
    <w:rsid w:val="00B5085C"/>
    <w:rsid w:val="00B66704"/>
    <w:rsid w:val="00B733C0"/>
    <w:rsid w:val="00B8352F"/>
    <w:rsid w:val="00B869C0"/>
    <w:rsid w:val="00B87AC9"/>
    <w:rsid w:val="00BA4C7D"/>
    <w:rsid w:val="00BB6FDE"/>
    <w:rsid w:val="00BB7403"/>
    <w:rsid w:val="00BD3FEC"/>
    <w:rsid w:val="00BF6509"/>
    <w:rsid w:val="00C036A0"/>
    <w:rsid w:val="00C03BC2"/>
    <w:rsid w:val="00C14264"/>
    <w:rsid w:val="00C22CB8"/>
    <w:rsid w:val="00C67AC2"/>
    <w:rsid w:val="00C731DD"/>
    <w:rsid w:val="00C836C0"/>
    <w:rsid w:val="00C8629A"/>
    <w:rsid w:val="00C91464"/>
    <w:rsid w:val="00C95E76"/>
    <w:rsid w:val="00CA4E89"/>
    <w:rsid w:val="00CA567F"/>
    <w:rsid w:val="00CB59D4"/>
    <w:rsid w:val="00CD28FD"/>
    <w:rsid w:val="00CD2E40"/>
    <w:rsid w:val="00CD49B1"/>
    <w:rsid w:val="00CE172B"/>
    <w:rsid w:val="00CE60D8"/>
    <w:rsid w:val="00CF6FF5"/>
    <w:rsid w:val="00D0092D"/>
    <w:rsid w:val="00D06B79"/>
    <w:rsid w:val="00D06DBD"/>
    <w:rsid w:val="00D11BF1"/>
    <w:rsid w:val="00D13BAC"/>
    <w:rsid w:val="00D30659"/>
    <w:rsid w:val="00D32550"/>
    <w:rsid w:val="00D33077"/>
    <w:rsid w:val="00D35688"/>
    <w:rsid w:val="00D510CA"/>
    <w:rsid w:val="00D60A9F"/>
    <w:rsid w:val="00D865CC"/>
    <w:rsid w:val="00D903FC"/>
    <w:rsid w:val="00DA6C62"/>
    <w:rsid w:val="00DC02EC"/>
    <w:rsid w:val="00DD1F76"/>
    <w:rsid w:val="00DE145C"/>
    <w:rsid w:val="00E103B2"/>
    <w:rsid w:val="00E14D03"/>
    <w:rsid w:val="00E21B9F"/>
    <w:rsid w:val="00E23A46"/>
    <w:rsid w:val="00E36398"/>
    <w:rsid w:val="00E51B2F"/>
    <w:rsid w:val="00E54C66"/>
    <w:rsid w:val="00E603AB"/>
    <w:rsid w:val="00E604F6"/>
    <w:rsid w:val="00E707C3"/>
    <w:rsid w:val="00EA0B83"/>
    <w:rsid w:val="00EA35EB"/>
    <w:rsid w:val="00EB0F52"/>
    <w:rsid w:val="00EB4B73"/>
    <w:rsid w:val="00ED32FF"/>
    <w:rsid w:val="00EE5CA1"/>
    <w:rsid w:val="00F07EA4"/>
    <w:rsid w:val="00F21831"/>
    <w:rsid w:val="00F30DFE"/>
    <w:rsid w:val="00F67C10"/>
    <w:rsid w:val="00F76BE6"/>
    <w:rsid w:val="00F82875"/>
    <w:rsid w:val="00F83048"/>
    <w:rsid w:val="00FA4F96"/>
    <w:rsid w:val="00FB5D82"/>
    <w:rsid w:val="00FC58BA"/>
    <w:rsid w:val="00FE1EEA"/>
    <w:rsid w:val="00FF233E"/>
    <w:rsid w:val="00FF33F1"/>
    <w:rsid w:val="00FF3EA8"/>
    <w:rsid w:val="63AEE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36F51964"/>
  <w15:docId w15:val="{ED703D4B-4A65-4869-B629-55BE509B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7A15D2"/>
    <w:pPr>
      <w:keepNext/>
      <w:jc w:val="center"/>
      <w:outlineLvl w:val="0"/>
    </w:pPr>
    <w:rPr>
      <w:sz w:val="36"/>
    </w:rPr>
  </w:style>
  <w:style w:type="paragraph" w:styleId="Heading5">
    <w:name w:val="heading 5"/>
    <w:basedOn w:val="Normal"/>
    <w:next w:val="Normal"/>
    <w:link w:val="Heading5Char"/>
    <w:uiPriority w:val="9"/>
    <w:semiHidden/>
    <w:unhideWhenUsed/>
    <w:qFormat/>
    <w:rsid w:val="007A15D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4498C"/>
    <w:pPr>
      <w:tabs>
        <w:tab w:val="center" w:pos="4680"/>
        <w:tab w:val="right" w:pos="9360"/>
      </w:tabs>
    </w:pPr>
  </w:style>
  <w:style w:type="character" w:customStyle="1" w:styleId="HeaderChar">
    <w:name w:val="Header Char"/>
    <w:basedOn w:val="DefaultParagraphFont"/>
    <w:link w:val="Header"/>
    <w:rsid w:val="0014498C"/>
    <w:rPr>
      <w:sz w:val="24"/>
      <w:szCs w:val="24"/>
    </w:rPr>
  </w:style>
  <w:style w:type="paragraph" w:styleId="Footer">
    <w:name w:val="footer"/>
    <w:basedOn w:val="Normal"/>
    <w:link w:val="FooterChar"/>
    <w:rsid w:val="0014498C"/>
    <w:pPr>
      <w:tabs>
        <w:tab w:val="center" w:pos="4680"/>
        <w:tab w:val="right" w:pos="9360"/>
      </w:tabs>
    </w:pPr>
  </w:style>
  <w:style w:type="character" w:customStyle="1" w:styleId="FooterChar">
    <w:name w:val="Footer Char"/>
    <w:basedOn w:val="DefaultParagraphFont"/>
    <w:link w:val="Footer"/>
    <w:rsid w:val="0014498C"/>
    <w:rPr>
      <w:sz w:val="24"/>
      <w:szCs w:val="24"/>
    </w:rPr>
  </w:style>
  <w:style w:type="paragraph" w:styleId="ListParagraph">
    <w:name w:val="List Paragraph"/>
    <w:basedOn w:val="Normal"/>
    <w:uiPriority w:val="34"/>
    <w:qFormat/>
    <w:rsid w:val="0014498C"/>
    <w:pPr>
      <w:ind w:left="720"/>
      <w:contextualSpacing/>
    </w:pPr>
  </w:style>
  <w:style w:type="table" w:styleId="TableGrid">
    <w:name w:val="Table Grid"/>
    <w:basedOn w:val="TableNormal"/>
    <w:rsid w:val="00C03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F33F1"/>
    <w:rPr>
      <w:rFonts w:ascii="Tahoma" w:hAnsi="Tahoma" w:cs="Tahoma"/>
      <w:sz w:val="16"/>
      <w:szCs w:val="16"/>
    </w:rPr>
  </w:style>
  <w:style w:type="character" w:customStyle="1" w:styleId="BalloonTextChar">
    <w:name w:val="Balloon Text Char"/>
    <w:basedOn w:val="DefaultParagraphFont"/>
    <w:link w:val="BalloonText"/>
    <w:rsid w:val="00FF33F1"/>
    <w:rPr>
      <w:rFonts w:ascii="Tahoma" w:hAnsi="Tahoma" w:cs="Tahoma"/>
      <w:sz w:val="16"/>
      <w:szCs w:val="16"/>
    </w:rPr>
  </w:style>
  <w:style w:type="character" w:customStyle="1" w:styleId="Heading1Char">
    <w:name w:val="Heading 1 Char"/>
    <w:basedOn w:val="DefaultParagraphFont"/>
    <w:link w:val="Heading1"/>
    <w:rsid w:val="007A15D2"/>
    <w:rPr>
      <w:sz w:val="36"/>
      <w:szCs w:val="24"/>
    </w:rPr>
  </w:style>
  <w:style w:type="character" w:customStyle="1" w:styleId="Heading5Char">
    <w:name w:val="Heading 5 Char"/>
    <w:basedOn w:val="DefaultParagraphFont"/>
    <w:link w:val="Heading5"/>
    <w:uiPriority w:val="9"/>
    <w:semiHidden/>
    <w:rsid w:val="007A15D2"/>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rsid w:val="007A15D2"/>
    <w:pPr>
      <w:jc w:val="both"/>
    </w:pPr>
  </w:style>
  <w:style w:type="character" w:customStyle="1" w:styleId="BodyTextChar">
    <w:name w:val="Body Text Char"/>
    <w:basedOn w:val="DefaultParagraphFont"/>
    <w:link w:val="BodyText"/>
    <w:semiHidden/>
    <w:rsid w:val="007A15D2"/>
    <w:rPr>
      <w:sz w:val="24"/>
      <w:szCs w:val="24"/>
    </w:rPr>
  </w:style>
  <w:style w:type="paragraph" w:styleId="BodyTextIndent2">
    <w:name w:val="Body Text Indent 2"/>
    <w:basedOn w:val="Normal"/>
    <w:link w:val="BodyTextIndent2Char"/>
    <w:semiHidden/>
    <w:rsid w:val="007A15D2"/>
    <w:pPr>
      <w:ind w:left="900" w:hanging="360"/>
    </w:pPr>
    <w:rPr>
      <w:szCs w:val="20"/>
    </w:rPr>
  </w:style>
  <w:style w:type="character" w:customStyle="1" w:styleId="BodyTextIndent2Char">
    <w:name w:val="Body Text Indent 2 Char"/>
    <w:basedOn w:val="DefaultParagraphFont"/>
    <w:link w:val="BodyTextIndent2"/>
    <w:semiHidden/>
    <w:rsid w:val="007A15D2"/>
    <w:rPr>
      <w:sz w:val="24"/>
    </w:rPr>
  </w:style>
  <w:style w:type="paragraph" w:styleId="NoSpacing">
    <w:name w:val="No Spacing"/>
    <w:uiPriority w:val="1"/>
    <w:qFormat/>
    <w:rsid w:val="00CF6FF5"/>
    <w:rPr>
      <w:sz w:val="24"/>
      <w:szCs w:val="24"/>
    </w:rPr>
  </w:style>
  <w:style w:type="character" w:customStyle="1" w:styleId="normaltextrun">
    <w:name w:val="normaltextrun"/>
    <w:basedOn w:val="DefaultParagraphFont"/>
    <w:rsid w:val="009018B2"/>
  </w:style>
  <w:style w:type="character" w:customStyle="1" w:styleId="apple-converted-space">
    <w:name w:val="apple-converted-space"/>
    <w:basedOn w:val="DefaultParagraphFont"/>
    <w:rsid w:val="009018B2"/>
  </w:style>
  <w:style w:type="character" w:customStyle="1" w:styleId="eop">
    <w:name w:val="eop"/>
    <w:basedOn w:val="DefaultParagraphFont"/>
    <w:rsid w:val="009018B2"/>
  </w:style>
  <w:style w:type="character" w:customStyle="1" w:styleId="spellingerror">
    <w:name w:val="spellingerror"/>
    <w:basedOn w:val="DefaultParagraphFont"/>
    <w:rsid w:val="00570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Standard Operating Procedures" ma:contentTypeID="0x0101007CC037A6B590A74EAA2AEDA0EAC904F7007A73BF3E44100747BE632099E8EFB93E" ma:contentTypeVersion="34" ma:contentTypeDescription="Step-by-step instructions" ma:contentTypeScope="" ma:versionID="f8a13ead4a5788fe4263ae63d216aa1c">
  <xsd:schema xmlns:xsd="http://www.w3.org/2001/XMLSchema" xmlns:xs="http://www.w3.org/2001/XMLSchema" xmlns:p="http://schemas.microsoft.com/office/2006/metadata/properties" xmlns:ns1="dbb792e5-54b2-47d5-a8ff-46a399ea297e" xmlns:ns2="3eecfc36-b78e-4dcf-a72e-f647de61222b" targetNamespace="http://schemas.microsoft.com/office/2006/metadata/properties" ma:root="true" ma:fieldsID="ea941947e854275f7d290ef06475b5c9" ns1:_="" ns2:_="">
    <xsd:import namespace="dbb792e5-54b2-47d5-a8ff-46a399ea297e"/>
    <xsd:import namespace="3eecfc36-b78e-4dcf-a72e-f647de61222b"/>
    <xsd:element name="properties">
      <xsd:complexType>
        <xsd:sequence>
          <xsd:element name="documentManagement">
            <xsd:complexType>
              <xsd:all>
                <xsd:element ref="ns1:Units"/>
                <xsd:element ref="ns1:Sub_x0020_Unit" minOccurs="0"/>
                <xsd:element ref="ns1:Categories0" minOccurs="0"/>
                <xsd:element ref="ns2:Content1"/>
                <xsd:element ref="ns1:_Status"/>
                <xsd:element ref="ns2:Authorization"/>
                <xsd:element ref="ns2:Owner_x0028_s_x0029_" minOccurs="0"/>
                <xsd:element ref="ns1:Issue_x0020_Date"/>
                <xsd:element ref="ns1:Review_x0020_Date"/>
                <xsd:element ref="ns1:Reviewed_x0020_By"/>
                <xsd:element ref="ns1:Distribution_x0020_Locations"/>
                <xsd:element ref="ns2:_dlc_DocId" minOccurs="0"/>
                <xsd:element ref="ns2:_dlc_DocIdUrl" minOccurs="0"/>
                <xsd:element ref="ns2:_dlc_DocIdPersistI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b792e5-54b2-47d5-a8ff-46a399ea297e" elementFormDefault="qualified">
    <xsd:import namespace="http://schemas.microsoft.com/office/2006/documentManagement/types"/>
    <xsd:import namespace="http://schemas.microsoft.com/office/infopath/2007/PartnerControls"/>
    <xsd:element name="Units" ma:index="0" ma:displayName="Unit" ma:description="Laboratories and Operations Areas within the AHDC" ma:format="Dropdown" ma:indexed="true" ma:internalName="Units" ma:readOnly="false">
      <xsd:simpleType>
        <xsd:restriction base="dms:Choice">
          <xsd:enumeration value="ACCT"/>
          <xsd:enumeration value="ADM"/>
          <xsd:enumeration value="AP"/>
          <xsd:enumeration value="BACT"/>
          <xsd:enumeration value="CC"/>
          <xsd:enumeration value="CP"/>
          <xsd:enumeration value="CRT"/>
          <xsd:enumeration value="DRL"/>
          <xsd:enumeration value="ENDO"/>
          <xsd:enumeration value="EQS"/>
          <xsd:enumeration value="IM"/>
          <xsd:enumeration value="MD"/>
          <xsd:enumeration value="MR"/>
          <xsd:enumeration value="ORG"/>
          <xsd:enumeration value="PARA"/>
          <xsd:enumeration value="PROC"/>
          <xsd:enumeration value="QMPS"/>
          <xsd:enumeration value="QA"/>
          <xsd:enumeration value="REC"/>
          <xsd:enumeration value="REF"/>
          <xsd:enumeration value="RA"/>
          <xsd:enumeration value="SAFE"/>
          <xsd:enumeration value="SERO"/>
          <xsd:enumeration value="SHIP"/>
          <xsd:enumeration value="TOX"/>
          <xsd:enumeration value="VSS"/>
          <xsd:enumeration value="VIR"/>
          <xsd:enumeration value="WHL"/>
        </xsd:restriction>
      </xsd:simpleType>
    </xsd:element>
    <xsd:element name="Sub_x0020_Unit" ma:index="1" nillable="true" ma:displayName="Sub Unit" ma:format="Dropdown" ma:internalName="Sub_x0020_Unit0" ma:readOnly="false">
      <xsd:simpleType>
        <xsd:restriction base="dms:Choice">
          <xsd:enumeration value="9CFR"/>
          <xsd:enumeration value="AP"/>
          <xsd:enumeration value="AVI"/>
          <xsd:enumeration value="BRUC"/>
          <xsd:enumeration value="BILL"/>
          <xsd:enumeration value="CAC"/>
          <xsd:enumeration value="ECM"/>
          <xsd:enumeration value="GEN"/>
          <xsd:enumeration value="HISTO"/>
          <xsd:enumeration value="HR"/>
          <xsd:enumeration value="IHC"/>
          <xsd:enumeration value="INFO"/>
          <xsd:enumeration value="INORG"/>
          <xsd:enumeration value="ISE"/>
          <xsd:enumeration value="JHN"/>
          <xsd:enumeration value="MKT"/>
          <xsd:enumeration value="MR"/>
          <xsd:enumeration value="MRP"/>
          <xsd:enumeration value="NEC"/>
          <xsd:enumeration value="ORG"/>
          <xsd:enumeration value="QC"/>
          <xsd:enumeration value="SURGP"/>
          <xsd:enumeration value="TFM"/>
          <xsd:enumeration value="TRIM"/>
          <xsd:enumeration value="TSE"/>
          <xsd:enumeration value="WD"/>
          <xsd:enumeration value="WNV"/>
        </xsd:restriction>
      </xsd:simpleType>
    </xsd:element>
    <xsd:element name="Categories0" ma:index="2" nillable="true" ma:displayName="Subject" ma:description="Functioning areas within a lab. Refer to Naming Conventions Document for more information." ma:format="Dropdown" ma:internalName="Categories0" ma:readOnly="false">
      <xsd:simpleType>
        <xsd:restriction base="dms:Choice">
          <xsd:enumeration value="9CFR"/>
          <xsd:enumeration value="AA"/>
          <xsd:enumeration value="ACC"/>
          <xsd:enumeration value="ADM"/>
          <xsd:enumeration value="ADR"/>
          <xsd:enumeration value="AGID"/>
          <xsd:enumeration value="ANAER"/>
          <xsd:enumeration value="ANCIL"/>
          <xsd:enumeration value="AG"/>
          <xsd:enumeration value="ASY"/>
          <xsd:enumeration value="BILL"/>
          <xsd:enumeration value="BSL3"/>
          <xsd:enumeration value="BT"/>
          <xsd:enumeration value="CAL"/>
          <xsd:enumeration value="CAMP"/>
          <xsd:enumeration value="CELL"/>
          <xsd:enumeration value="CEM"/>
          <xsd:enumeration value="CF"/>
          <xsd:enumeration value="CHARM"/>
          <xsd:enumeration value="CHEM"/>
          <xsd:enumeration value="CLOT"/>
          <xsd:enumeration value="COP"/>
          <xsd:enumeration value="CUL"/>
          <xsd:enumeration value="CYTO"/>
          <xsd:enumeration value="CYTOC"/>
          <xsd:enumeration value="DEL"/>
          <xsd:enumeration value="DNA"/>
          <xsd:enumeration value="DSC"/>
          <xsd:enumeration value="EC"/>
          <xsd:enumeration value="ELISA"/>
          <xsd:enumeration value="EQU"/>
          <xsd:enumeration value="FA"/>
          <xsd:enumeration value="FEC"/>
          <xsd:enumeration value="FIB"/>
          <xsd:enumeration value="FLD"/>
          <xsd:enumeration value="FLOW"/>
          <xsd:enumeration value="GC/MS"/>
          <xsd:enumeration value="GEN"/>
          <xsd:enumeration value="Gen5"/>
          <xsd:enumeration value="GLP"/>
          <xsd:enumeration value="HEMA"/>
          <xsd:enumeration value="HI"/>
          <xsd:enumeration value="HPLC"/>
          <xsd:enumeration value="ICP"/>
          <xsd:enumeration value="IMM"/>
          <xsd:enumeration value="IFA"/>
          <xsd:enumeration value="IHC"/>
          <xsd:enumeration value="INS"/>
          <xsd:enumeration value="ISOL"/>
          <xsd:enumeration value="KIT"/>
          <xsd:enumeration value="LAB"/>
          <xsd:enumeration value="LC"/>
          <xsd:enumeration value="LC/MS"/>
          <xsd:enumeration value="LE"/>
          <xsd:enumeration value="LM"/>
          <xsd:enumeration value="LPT"/>
          <xsd:enumeration value="LQC"/>
          <xsd:enumeration value="LS"/>
          <xsd:enumeration value="LT"/>
          <xsd:enumeration value="LW"/>
          <xsd:enumeration value="MAIN"/>
          <xsd:enumeration value="MATP"/>
          <xsd:enumeration value="MET"/>
          <xsd:enumeration value="MP"/>
          <xsd:enumeration value="MPC"/>
          <xsd:enumeration value="MPLEX"/>
          <xsd:enumeration value="MYC"/>
          <xsd:enumeration value="NAHLN"/>
          <xsd:enumeration value="ORG"/>
          <xsd:enumeration value="OVER"/>
          <xsd:enumeration value="PARRS"/>
          <xsd:enumeration value="PLT"/>
          <xsd:enumeration value="PCR"/>
          <xsd:enumeration value="POL"/>
          <xsd:enumeration value="PROC"/>
          <xsd:enumeration value="PVM"/>
          <xsd:enumeration value="QA"/>
          <xsd:enumeration value="QC"/>
          <xsd:enumeration value="RACK"/>
          <xsd:enumeration value="REAG"/>
          <xsd:enumeration value="REP"/>
          <xsd:enumeration value="RES"/>
          <xsd:enumeration value="RNA"/>
          <xsd:enumeration value="ROT"/>
          <xsd:enumeration value="SAF"/>
          <xsd:enumeration value="SENSI"/>
          <xsd:enumeration value="SER"/>
          <xsd:enumeration value="SHIP"/>
          <xsd:enumeration value="SN"/>
          <xsd:enumeration value="SOL"/>
          <xsd:enumeration value="SP"/>
          <xsd:enumeration value="STA"/>
          <xsd:enumeration value="STAC"/>
          <xsd:enumeration value="STE"/>
          <xsd:enumeration value="STOCK"/>
          <xsd:enumeration value="STOR"/>
          <xsd:enumeration value="SUB"/>
          <xsd:enumeration value="SVC"/>
          <xsd:enumeration value="TC"/>
          <xsd:enumeration value="TEST"/>
          <xsd:enumeration value="THY"/>
          <xsd:enumeration value="TLC"/>
          <xsd:enumeration value="TRAIN"/>
          <xsd:enumeration value="UPC"/>
          <xsd:enumeration value="URI"/>
          <xsd:enumeration value="UVIS"/>
          <xsd:enumeration value="VI"/>
          <xsd:enumeration value="VV"/>
          <xsd:enumeration value="WAT"/>
          <xsd:enumeration value="WBLOT"/>
          <xsd:enumeration value="XRF"/>
        </xsd:restriction>
      </xsd:simpleType>
    </xsd:element>
    <xsd:element name="_Status" ma:index="6" ma:displayName="Status" ma:format="Dropdown" ma:indexed="true" ma:internalName="Status" ma:readOnly="false">
      <xsd:simpleType>
        <xsd:restriction base="dms:Choice">
          <xsd:enumeration value="Active"/>
          <xsd:enumeration value="Inactive"/>
        </xsd:restriction>
      </xsd:simpleType>
    </xsd:element>
    <xsd:element name="Issue_x0020_Date" ma:index="9" ma:displayName="Issue Date" ma:format="DateOnly" ma:internalName="Issue_x0020_Date" ma:readOnly="false">
      <xsd:simpleType>
        <xsd:restriction base="dms:DateTime"/>
      </xsd:simpleType>
    </xsd:element>
    <xsd:element name="Review_x0020_Date" ma:index="10" ma:displayName="Review Date" ma:description="The date this document was reviewed. This process is performed to ensure the document is current and up-to-date." ma:format="DateOnly" ma:indexed="true" ma:internalName="Review_x0020_Date" ma:readOnly="false">
      <xsd:simpleType>
        <xsd:restriction base="dms:DateTime"/>
      </xsd:simpleType>
    </xsd:element>
    <xsd:element name="Reviewed_x0020_By" ma:index="11" ma:displayName="Reviewed By" ma:description="The person(s) who reviewed this document most recently, either for initial submission, update, or bi-annual review to ensure the document is current and up-to-date." ma:list="UserInfo" ma:SharePointGroup="0" ma:internalName="Reviewed_x0020_By"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istribution_x0020_Locations" ma:index="12" ma:displayName="Distribution Locations" ma:description="Distribution location(s) for controlled document" ma:internalName="Distribution_x0020_Location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ecfc36-b78e-4dcf-a72e-f647de61222b" elementFormDefault="qualified">
    <xsd:import namespace="http://schemas.microsoft.com/office/2006/documentManagement/types"/>
    <xsd:import namespace="http://schemas.microsoft.com/office/infopath/2007/PartnerControls"/>
    <xsd:element name="Content1" ma:index="3" ma:displayName="Content" ma:format="Dropdown" ma:indexed="true" ma:internalName="Content1" ma:readOnly="false">
      <xsd:simpleType>
        <xsd:restriction base="dms:Choice">
          <xsd:enumeration value="CHT"/>
          <xsd:enumeration value="EXD"/>
          <xsd:enumeration value="FORM"/>
          <xsd:enumeration value="QM"/>
          <xsd:enumeration value="SOP"/>
          <xsd:enumeration value="WEB"/>
        </xsd:restriction>
      </xsd:simpleType>
    </xsd:element>
    <xsd:element name="Authorization" ma:index="7" ma:displayName="Authorization" ma:description="Lab Director or designee who authorizes the use of this SOP" ma:list="UserInfo" ma:SharePointGroup="0" ma:internalName="Authorization"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Owner_x0028_s_x0029_" ma:index="8" nillable="true" ma:displayName="Owner(s)" ma:list="UserInfo" ma:SharePointGroup="0" ma:internalName="Owner_x0028_s_x0029_"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element name="TaxCatchAll" ma:index="22" nillable="true" ma:displayName="Taxonomy Catch All Column" ma:description="" ma:hidden="true" ma:list="{7f9ca21f-c8a4-4303-9a0f-7870a889ae76}" ma:internalName="TaxCatchAll" ma:readOnly="false" ma:showField="CatchAllData" ma:web="3eecfc36-b78e-4dcf-a72e-f647de61222b">
      <xsd:complexType>
        <xsd:complexContent>
          <xsd:extension base="dms:MultiChoiceLookup">
            <xsd:sequence>
              <xsd:element name="Value" type="dms:Lookup" maxOccurs="unbounded" minOccurs="0" nillable="true"/>
            </xsd:sequence>
          </xsd:extension>
        </xsd:complexContent>
      </xsd:complexType>
    </xsd:element>
    <xsd:element name="TaxCatchAllLabel" ma:index="23" nillable="true" ma:displayName="Taxonomy Catch All Column1" ma:description="" ma:hidden="true" ma:list="{7f9ca21f-c8a4-4303-9a0f-7870a889ae76}" ma:internalName="TaxCatchAllLabel" ma:readOnly="true" ma:showField="CatchAllDataLabel" ma:web="3eecfc36-b78e-4dcf-a72e-f647de6122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axOccurs="1" ma:index="5"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axOccurs="1" ma:displayName="Status">
          <xsd:simpleType xmlns:xs="http://www.w3.org/2001/XMLSchema">
            <xsd:restriction base="xsd:string">
              <xsd:minLength value="1"/>
            </xsd:restriction>
          </xsd:simpleType>
        </xsd:element>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eecfc36-b78e-4dcf-a72e-f647de61222b">AHDC-1045325696-3955</_dlc_DocId>
    <_dlc_DocIdUrl xmlns="3eecfc36-b78e-4dcf-a72e-f647de61222b">
      <Url>https://cornellprod.sharepoint.com/sites/VetAHDC/_layouts/15/DocIdRedir.aspx?ID=AHDC-1045325696-3955</Url>
      <Description>AHDC-1045325696-3955</Description>
    </_dlc_DocIdUrl>
    <Categories0 xmlns="dbb792e5-54b2-47d5-a8ff-46a399ea297e">DNA</Categories0>
    <TaxCatchAll xmlns="3eecfc36-b78e-4dcf-a72e-f647de61222b"/>
    <Issue_x0020_Date xmlns="dbb792e5-54b2-47d5-a8ff-46a399ea297e">2017-10-20T04:00:00+00:00</Issue_x0020_Date>
    <Review_x0020_Date xmlns="dbb792e5-54b2-47d5-a8ff-46a399ea297e">2017-10-20T04:00:00+00:00</Review_x0020_Date>
    <Content1 xmlns="3eecfc36-b78e-4dcf-a72e-f647de61222b">SOP</Content1>
    <Owner_x0028_s_x0029_ xmlns="3eecfc36-b78e-4dcf-a72e-f647de61222b">
      <UserInfo>
        <DisplayName>i:0#.f|membership|jsb76@cornell.edu</DisplayName>
        <AccountId>47</AccountId>
        <AccountType/>
      </UserInfo>
    </Owner_x0028_s_x0029_>
    <Reviewed_x0020_By xmlns="dbb792e5-54b2-47d5-a8ff-46a399ea297e">
      <UserInfo>
        <DisplayName>i:0#.f|membership|rv82@cornell.edu</DisplayName>
        <AccountId>173</AccountId>
        <AccountType/>
      </UserInfo>
    </Reviewed_x0020_By>
    <Distribution_x0020_Locations xmlns="dbb792e5-54b2-47d5-a8ff-46a399ea297e">A3243</Distribution_x0020_Locations>
    <Units xmlns="dbb792e5-54b2-47d5-a8ff-46a399ea297e">MD</Units>
    <Authorization xmlns="3eecfc36-b78e-4dcf-a72e-f647de61222b">
      <UserInfo>
        <DisplayName>Amy L. Glaser</DisplayName>
        <AccountId>194</AccountId>
        <AccountType/>
      </UserInfo>
    </Authorization>
    <Sub_x0020_Unit xmlns="dbb792e5-54b2-47d5-a8ff-46a399ea297e" xsi:nil="true"/>
    <_Status xmlns="dbb792e5-54b2-47d5-a8ff-46a399ea297e">Active</_Status>
    <TaxCatchAllLabel xmlns="3eecfc36-b78e-4dcf-a72e-f647de61222b"/>
    <_dlc_DocIdPersistId xmlns="3eecfc36-b78e-4dcf-a72e-f647de61222b"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86D9C-2CFD-4367-86B5-B3B54629D0C6}">
  <ds:schemaRefs>
    <ds:schemaRef ds:uri="http://schemas.microsoft.com/sharepoint/events"/>
  </ds:schemaRefs>
</ds:datastoreItem>
</file>

<file path=customXml/itemProps2.xml><?xml version="1.0" encoding="utf-8"?>
<ds:datastoreItem xmlns:ds="http://schemas.openxmlformats.org/officeDocument/2006/customXml" ds:itemID="{4996D809-2805-4727-A5C9-90C2941E4F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b792e5-54b2-47d5-a8ff-46a399ea297e"/>
    <ds:schemaRef ds:uri="3eecfc36-b78e-4dcf-a72e-f647de6122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51C6A8-6829-4AEE-B6F0-2112625309F0}">
  <ds:schemaRefs>
    <ds:schemaRef ds:uri="http://schemas.microsoft.com/sharepoint/v3/contenttype/forms"/>
  </ds:schemaRefs>
</ds:datastoreItem>
</file>

<file path=customXml/itemProps4.xml><?xml version="1.0" encoding="utf-8"?>
<ds:datastoreItem xmlns:ds="http://schemas.openxmlformats.org/officeDocument/2006/customXml" ds:itemID="{77C5CA4F-AE1D-4CF4-B4E8-9B5A0068B75B}">
  <ds:schemaRefs>
    <ds:schemaRef ds:uri="http://schemas.microsoft.com/office/2006/documentManagement/types"/>
    <ds:schemaRef ds:uri="3eecfc36-b78e-4dcf-a72e-f647de61222b"/>
    <ds:schemaRef ds:uri="dbb792e5-54b2-47d5-a8ff-46a399ea297e"/>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FDF2DC12-88D7-4766-84D7-64BF8531B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983</Words>
  <Characters>4702</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DNA/RNA Extraction For Multiple Sample Types and Pathogens Using Paramagnetic Beads and KingFisher-96 with AM1840 Kit</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DNA/RNA Extraction For Multiple Sample Types and Pathogens Using Paramagnetic Beads and KingFisher-96 with AM1840 Kit</dc:title>
  <dc:creator>John S. Beeby</dc:creator>
  <cp:keywords/>
  <cp:lastModifiedBy>Erika Ganda</cp:lastModifiedBy>
  <cp:revision>2</cp:revision>
  <cp:lastPrinted>2017-10-17T19:24:00Z</cp:lastPrinted>
  <dcterms:created xsi:type="dcterms:W3CDTF">2019-04-29T18:17:00Z</dcterms:created>
  <dcterms:modified xsi:type="dcterms:W3CDTF">2019-04-29T18:17:00Z</dcterms:modified>
  <cp:contentStatus>Active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0x0101007CC037A6B590A74EAA2AEDA0EAC904F7007A73BF3E44100747BE632099E8EFB93E</vt:lpwstr>
  </property>
  <property fmtid="{D5CDD505-2E9C-101B-9397-08002B2CF9AE}" pid="3" name="_dlc_DocIdItemGuid">
    <vt:lpwstr>553e0e5d-ab1c-4bac-8f36-cfc12918edeb</vt:lpwstr>
  </property>
  <property fmtid="{D5CDD505-2E9C-101B-9397-08002B2CF9AE}" pid="4" name="Authorization">
    <vt:lpwstr>12;#Bruce L. Akey</vt:lpwstr>
  </property>
  <property fmtid="{D5CDD505-2E9C-101B-9397-08002B2CF9AE}" pid="5" name="TaxKeyword">
    <vt:lpwstr/>
  </property>
  <property fmtid="{D5CDD505-2E9C-101B-9397-08002B2CF9AE}" pid="6" name="Document ID">
    <vt:lpwstr/>
  </property>
  <property fmtid="{D5CDD505-2E9C-101B-9397-08002B2CF9AE}" pid="7" name="Title1">
    <vt:lpwstr>DNA/RNA Extraction For Multiple Sample Types and Pathogens Using Paramagnetic Beads and KingFisher-96 with AM1840 Kit</vt:lpwstr>
  </property>
  <property fmtid="{D5CDD505-2E9C-101B-9397-08002B2CF9AE}" pid="8" name="Preceding Doc Code">
    <vt:lpwstr/>
  </property>
  <property fmtid="{D5CDD505-2E9C-101B-9397-08002B2CF9AE}" pid="9" name="Audience1">
    <vt:lpwstr/>
  </property>
  <property fmtid="{D5CDD505-2E9C-101B-9397-08002B2CF9AE}" pid="10" name="Issue Date0">
    <vt:filetime>2016-12-05T05:00:00Z</vt:filetime>
  </property>
  <property fmtid="{D5CDD505-2E9C-101B-9397-08002B2CF9AE}" pid="11" name="Review Date0">
    <vt:filetime>2016-12-05T05:00:00Z</vt:filetime>
  </property>
  <property fmtid="{D5CDD505-2E9C-101B-9397-08002B2CF9AE}" pid="12" name="Reviewed By0">
    <vt:lpwstr>99;#99</vt:lpwstr>
  </property>
  <property fmtid="{D5CDD505-2E9C-101B-9397-08002B2CF9AE}" pid="13" name="Distribution Locations0">
    <vt:lpwstr>A3243</vt:lpwstr>
  </property>
  <property fmtid="{D5CDD505-2E9C-101B-9397-08002B2CF9AE}" pid="14" name="Unit">
    <vt:lpwstr>MD</vt:lpwstr>
  </property>
</Properties>
</file>