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color w:val="0071CE"/>
          <w:sz w:val="44"/>
        </w:rPr>
        <w:t>WALMART DELIVERY ANALYTICS</w:t>
      </w:r>
    </w:p>
    <w:p>
      <w:pPr>
        <w:pStyle w:val="Normal"/>
        <w:jc w:val="center"/>
        <w:rPr/>
      </w:pPr>
      <w:r>
        <w:rPr>
          <w:b/>
          <w:color w:val="003F87"/>
          <w:sz w:val="36"/>
        </w:rPr>
        <w:t>Detecção de Fraudes em Entregas</w:t>
      </w:r>
    </w:p>
    <w:p>
      <w:pPr>
        <w:pStyle w:val="Normal"/>
        <w:jc w:val="center"/>
        <w:rPr/>
      </w:pPr>
      <w:r>
        <w:rPr>
          <w:color w:val="404040"/>
          <w:sz w:val="28"/>
        </w:rPr>
        <w:t>Região Central da Flórida — 2023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404040"/>
          <w:sz w:val="24"/>
        </w:rPr>
        <w:t>Relatório de Análise de Dados</w:t>
      </w:r>
    </w:p>
    <w:p>
      <w:pPr>
        <w:pStyle w:val="Normal"/>
        <w:jc w:val="center"/>
        <w:rPr/>
      </w:pPr>
      <w:r>
        <w:rPr>
          <w:color w:val="404040"/>
          <w:sz w:val="22"/>
        </w:rPr>
        <w:t>Data: 22/05/2026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1. Sumário Executivo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Este relatório apresenta os resultados da análise exploratória de dados (EDA) e da detecção de anomalias em entregas do Walmart na região Central da Flórida, com base em 10.000 pedidos registrados ao longo do ano de 2023. O objetivo principal é identificar padrões de itens faltantes nas entregas, avaliar o impacto financeiro associado e propor medidas preventivas para reduzir as ocorrências.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Os principais achados do estudo são: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15,02% dos pedidos analisados apresentaram pelo menos um item faltante na entrega.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perda financeira estimada total é d</w:t>
      </w:r>
      <w:r>
        <w:rPr>
          <w:color w:val="404040"/>
          <w:sz w:val="22"/>
        </w:rPr>
        <w:t xml:space="preserve">e </w:t>
      </w:r>
      <w:r>
        <w:rPr>
          <w:b/>
          <w:color w:val="404040"/>
          <w:sz w:val="22"/>
        </w:rPr>
        <w:t>US$ 12,6 milhões.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Altamonte Springs apresentou a maior taxa de itens faltantes (16,20%), enquanto Sanford registrou a menor (13,89%).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O período da manhã concentra a maior taxa de anomalias (16,12%), seguido pelo período da tarde (14,77%).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Os meses de maior incidência foram Maio (16,99%), Março (16,71%) e Novembro (16,46%).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O modelo de Machine Learning avaliou 2.500 pedidos (25% do total), identificando 90 pedidos de Alto Risco e 466 de Médio Risco.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Pedidos de Alto e Médio Risco concentram 81,5% da perda financeira estimada (US$ 10,3 milhões).</w:t>
      </w:r>
    </w:p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32"/>
        </w:rPr>
        <w:t>2. Introdução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crescimento do comércio eletrônico e das entregas domiciliares tem aumentado significativamente a complexidade logística das grandes redes varejistas. Neste contexto, a detecção de irregularidades nas entregas — sejam elas decorrentes de fraude intencional, erro operacional ou falha de processo — torna-se um componente crítico para a proteção financeira e a satisfação do cliente.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Este estudo foi desenvolvido como projeto final do curso de Data Analytics e tem como objeto de análise as entregas realizadas pelo Walmart na região Central da Flórida durante o ano de 2023. A análise combina técnicas de EDA (Exploratory Data Analysis), visualização de dados em Power BI e um modelo de detecção de anomalias baseado em Machine Learning.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2.1 Objetivos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Identificar padrões temporais, geográficos e operacionais associados a itens faltantes nas entregas.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Quantificar o impacto financeiro das anomalias detectadas.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Avaliar possíveis causas: fraude do motorista, fraude do consumidor ou erro operacional.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Propor recomendações e medidas preventivas baseadas nos dados.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Identificar melhorias no processo de coleta de dados e no pipeline analítico.</w:t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3. Descrição dos Dados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dataset utilizado nesta análise foi fornecido como parte do projeto e representa pedidos de entrega realizados pelo Walmart na região Central da Flórida. Os dados foram tratados e normalizados via SQL Server antes de serem importados no Power BI para análise e visualização.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3.1 Visão Geral do Dataset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Atributo</w:t>
            </w:r>
          </w:p>
        </w:tc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Período de análise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Janeiro a Dezembro de 2023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pedidos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10.000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Regiões cobertas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 cidades — Central da Flórida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Motoristas únicos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1.247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Clientes únicos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1.239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Produtos catalogados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314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Taxa geral de itens faltantes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15,02%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Pedidos com itens faltantes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1.502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itens faltantes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1.657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3.2 Tabelas Utilizadas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Fonte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orders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vw_orders_clean (SQL Server)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Fato principal — pedidos com colunas calculadas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products_data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vw_products_clean (SQL Server)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Catálogo de produtos com preço numérico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missing_items_data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vw_missing_items_long (SQL Server)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Itens faltantes em formato longo (unpivotado)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customers_data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CSV original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Dados cadastrais dos clientes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drivers_data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CSV original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Dados cadastrais dos motoristas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orders_scored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Excel (saída do modelo ML)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Pedidos do conjunto de teste com score de risco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3.3 Qualidade dos Dados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análise de qualidade dos dados revelou ausência de valores nulos nas colunas críticas (region, driver_id, customer_id), o que indica boa integridade nos registros principais. As principais intervenções realizadas no pré-processamento foram: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Conversão da coluna de preço de texto para formato numérico decimal (price_num).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Transformação dos dados de itens faltantes de formato wide para formato long (unpivot), permitindo análise por produto.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Criação de colunas calculadas no SQL: hora de entrega, período do dia, mês, nome do mês, flag has_missing e taxa de itens faltantes (missing_rate).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Padronização dos valores de risk_level no modelo ML (capitalização consistente).</w:t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  <w:t>4. Análise Exploratória de Dados (EDA)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4.1 Visão Geral das Anomalias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Do total de 10.000 pedidos analisados, 1.502 apresentaram pelo menos um item faltante, representando uma taxa geral de 15,02%. Foram registrados 1.657 itens faltantes no total, com uma perda financeira estimada de US$ 12.614.059.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Métrica</w:t>
            </w:r>
          </w:p>
        </w:tc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pedidos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10.000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Pedidos com itens faltantes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1.502 (15,02%)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itens faltantes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1.657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Perda financeira estimada total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US$ 12.614.059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Perda — pedidos Alto Risco (ML)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US$ 4.348.071 (34,5%)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Perda — pedidos Médio Risco (ML)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US$ 5.935.111 (47,1%)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Perda — Alto + Médio Risco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US$ 10.283.182 (81,5%)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4.2 Análise por Região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taxa de itens faltantes apresentou variação entre as 7 regiões analisadas, com uma diferença de 2,31 pontos percentuais entre a região com maior e menor incidência. Altamonte Springs se destaca como a região de maior risco, com taxa 16,6% superior à média geral, enquanto Sanford apresenta desempenho abaixo da média.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Região</w:t>
            </w:r>
          </w:p>
        </w:tc>
        <w:tc>
          <w:tcPr>
            <w:tcW w:w="1728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Total Pedidos</w:t>
            </w:r>
          </w:p>
        </w:tc>
        <w:tc>
          <w:tcPr>
            <w:tcW w:w="1728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Pedidos com Falta</w:t>
            </w:r>
          </w:p>
        </w:tc>
        <w:tc>
          <w:tcPr>
            <w:tcW w:w="1728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Taxa de Falta</w:t>
            </w:r>
          </w:p>
        </w:tc>
        <w:tc>
          <w:tcPr>
            <w:tcW w:w="1728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vs. Média</w:t>
            </w:r>
          </w:p>
        </w:tc>
      </w:tr>
      <w:tr>
        <w:trPr/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Altamonte Springs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1.426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231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16,20%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+1,18 p.p.</w:t>
            </w:r>
          </w:p>
        </w:tc>
      </w:tr>
      <w:tr>
        <w:trPr/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Clermont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1.384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219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15,82%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+0,80 p.p.</w:t>
            </w:r>
          </w:p>
        </w:tc>
      </w:tr>
      <w:tr>
        <w:trPr/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Apopka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1.422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218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15,33%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+0,31 p.p.</w:t>
            </w:r>
          </w:p>
        </w:tc>
      </w:tr>
      <w:tr>
        <w:trPr/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Orlando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1.401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212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15,13%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+0,11 p.p.</w:t>
            </w:r>
          </w:p>
        </w:tc>
      </w:tr>
      <w:tr>
        <w:trPr/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Winter Park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1.485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215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14,48%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-0,54 p.p.</w:t>
            </w:r>
          </w:p>
        </w:tc>
      </w:tr>
      <w:tr>
        <w:trPr/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Kissimmee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1.421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204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14,36%</w:t>
            </w:r>
          </w:p>
        </w:tc>
        <w:tc>
          <w:tcPr>
            <w:tcW w:w="172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-0,66 p.p.</w:t>
            </w:r>
          </w:p>
        </w:tc>
      </w:tr>
      <w:tr>
        <w:trPr/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Sanford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1.461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203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13,89%</w:t>
            </w:r>
          </w:p>
        </w:tc>
        <w:tc>
          <w:tcPr>
            <w:tcW w:w="1728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-1,13 p.p.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>
          <w:b/>
          <w:color w:val="003F87"/>
          <w:sz w:val="26"/>
        </w:rPr>
      </w:pPr>
      <w:r>
        <w:rPr>
          <w:b/>
          <w:color w:val="003F87"/>
          <w:sz w:val="26"/>
        </w:rPr>
      </w:r>
    </w:p>
    <w:p>
      <w:pPr>
        <w:pStyle w:val="Normal"/>
        <w:spacing w:before="280" w:after="80"/>
        <w:rPr>
          <w:b/>
          <w:color w:val="003F87"/>
          <w:sz w:val="26"/>
        </w:rPr>
      </w:pPr>
      <w:r>
        <w:rPr>
          <w:b/>
          <w:color w:val="003F87"/>
          <w:sz w:val="26"/>
        </w:rPr>
      </w:r>
    </w:p>
    <w:p>
      <w:pPr>
        <w:pStyle w:val="Normal"/>
        <w:spacing w:before="280" w:after="80"/>
        <w:rPr>
          <w:b/>
          <w:color w:val="003F87"/>
          <w:sz w:val="26"/>
        </w:rPr>
      </w:pPr>
      <w:r>
        <w:rPr>
          <w:b/>
          <w:color w:val="003F87"/>
          <w:sz w:val="26"/>
        </w:rPr>
        <w:t>4.3 Análise Temporal</w:t>
      </w:r>
    </w:p>
    <w:p>
      <w:pPr>
        <w:pStyle w:val="Normal"/>
        <w:spacing w:before="280" w:after="80"/>
        <w:rPr/>
      </w:pPr>
      <w:r>
        <w:rPr>
          <w:b/>
          <w:color w:val="003F87"/>
          <w:sz w:val="22"/>
        </w:rPr>
        <w:t>4.3.1 Por Período do Dia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As entregas realizadas no período da manhã apresentam a maior taxa de anomalias (16,12%), superando em 1,6 pontos percentuais o período de melhor desempenho (noite, 14,53%). Isso pode indicar maior volume de entregas concentradas pela manhã com menor supervisão ou maior pressão sobre os motoristas.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Período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Total Pedidos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Pedidos com Falta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Taxa de Falta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Manhã (06h–12h)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2.481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400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16,12%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Tarde (12h–18h)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2.526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373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14,77%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Madrugada (00h–06h)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2.557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375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14,67%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Noite (18h–24h)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2.436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354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14,53%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22"/>
        </w:rPr>
        <w:t>4.3.2 Por Mês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análise mensal revela um padrão sazonal com três picos de incidência: Maio (16,99%), Março (16,71%) e Novembro (16,46%). Os meses de menor incidência são Fevereiro (13,42%) e Dezembro (13,64%), sugerindo que o início do ano e o período pós-festivo apresentam melhor desempenho operacional.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Mês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Taxa de Falta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Mês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Taxa de Falta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Janeiro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14,59%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Julho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15,71%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Fevereiro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13,42%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Agosto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15,61%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Março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16,71%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Setembro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13,92%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Abril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15,34%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Outubro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13,97%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16,99%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Novembro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16,46%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Junho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13,73%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Dezembro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13,64%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4.4 Análise por Motorista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 xml:space="preserve">A análise individual por motorista revelou uma distribuição uniforme das ocorrências: a grande maioria dos 1.247 motoristas registrou exatamente 4 pedidos com itens faltantes em 11 entregas (taxa de 36,36%). Essa uniformidade sugere que as anomalias são distribuídas de forma sistêmica no dataset, sem concentração em motoristas específicos. 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Importante: com uma média de apenas ~8 entregas por motorista ao longo de 12 meses, o volume de dados por motorista é insuficiente para identificar padrões individuais confiáveis. Uma análise de responsabilidade individual exigiria um histórico mais longo ou um maior volume de entregas por motorista.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4.5 Análise por Categoria de Produto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análise dos produtos com maior impacto financeiro indicou que os itens de maior valor unitário (eletrônicos e equipamentos) geram perdas desproporcionalmente elevadas mesmo quando representam um número menor de ocorrências. Os produtos de supermercado (valor unitário baixo) concentram o maior número de ocorrências mas menor impacto financeiro por item.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Os produtos com maior perda financeira acumulada pertencem a categorias de alto valor unitário, com perdas individuais que chegam a US$ 819.728 por produto (14 ocorrências) e US$ 759.968 (11 ocorrências), reforçando a necessidade de controles especiais para itens de alto valor.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5. Resultados do Modelo de Machine Learning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pipeline de Machine Learning foi desenvolvido em Python (Jupyter Notebook) utilizando a biblioteca scikit-learn. O objetivo foi construir um modelo de classificação binária para prever se um pedido teria itens faltantes (has_missing = 1), com base em características do pedido, do motorista e da região.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5.1 Features Utilizadas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Foram utilizadas 8 features no modelo final, combinando variáveis diretas e features derivadas com engenharia de dados: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Tipo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order_amount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Numérica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Valor total do pedido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items_total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Numérica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itens do pedido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delivery_hour_only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Numérica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Hora da entrega (0–23)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high_value_order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Flag (0/1)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Pedido acima do percentil 75 de valor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night_delivery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Flag (0/1)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Entrega em horário de risco (6, 7, 10, 13, 22h)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driver_problem_rate_oof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Numérica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Taxa histórica de problemas do motorista (OOF)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driver_total_orders_oof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Numérica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de entregas do motorista (OOF)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Categórica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Região de entrega (One-Hot Encoding)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 xml:space="preserve">Nota técnica — </w:t>
      </w:r>
      <w:r>
        <w:rPr>
          <w:color w:val="404040"/>
          <w:sz w:val="22"/>
        </w:rPr>
        <w:t>as features de histórico do motorista foram calculadas com validação cruzada Out-of-Fold (5 folds) para evitar data leakage. Para o conjunto de teste, o histórico foi calculado exclusivamente a partir do conjunto de treino.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5.2 Comparação de Modelos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Cinco algoritmos foram treinados e comparados com pré-processamento padronizado (StandardScaler para numéricas, OneHotEncoder para categóricas, class_weight="balanced" para compensar o desbalanceamento da variável alvo):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Modelo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ROC-AUC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PR-AUC</w:t>
            </w:r>
          </w:p>
        </w:tc>
        <w:tc>
          <w:tcPr>
            <w:tcW w:w="216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Selecionado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Gradient Boosting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0,918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0,655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SIM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Decision Tree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0,889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0,592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SVM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0,889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0,482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Random Forest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0,885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0,566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Logistic Regression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0,799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0,309</w:t>
            </w:r>
          </w:p>
        </w:tc>
        <w:tc>
          <w:tcPr>
            <w:tcW w:w="216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Gradient Boosting foi selecionado como modelo final por apresentar o maior ROC-AUC (0,918) e PR-AUC (0,655). O PR-AUC é a métrica mais relevante neste contexto, pois avalia o desempenho do modelo especificamente na classe minoritária (pedidos com fraude), que representa apenas 15% do dataset.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5.3 Performance do Modelo Final (Gradient Boosting)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Resultados no conjunto de teste (2.500 pedidos):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Métrica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88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Interpretação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ROC-AUC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0,918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Excelente capacidade de discriminação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PR-AUC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0,655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Boa performance na classe de risco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88%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 acurácia geral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Precision (risco)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77%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Quando prevê risco, acerta 77% das vezes</w:t>
            </w:r>
          </w:p>
        </w:tc>
      </w:tr>
      <w:tr>
        <w:trPr/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Recall (risco)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28%</w:t>
            </w:r>
          </w:p>
        </w:tc>
        <w:tc>
          <w:tcPr>
            <w:tcW w:w="288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Detecta 28% dos casos reais de risco</w:t>
            </w:r>
          </w:p>
        </w:tc>
      </w:tr>
      <w:tr>
        <w:trPr/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F1-Score (risco)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0,41</w:t>
            </w:r>
          </w:p>
        </w:tc>
        <w:tc>
          <w:tcPr>
            <w:tcW w:w="288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Equilíbrio entre precision e recall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modelo adota uma postura conservadora (alta precision, baixo recall): prefere emitir poucos alertas com alta confiabilidade a gerar muitos falsos positivos. Dos 375 pedidos realmente fraudulentos no teste, 105 foram corretamente identificados (TP) e 270 passaram despercebidos (FN). Dos 32 alarmes de Alto Risco emitidos, apenas 32 eram falsos positivos (FP).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5.4 Distribuição de Risco e Validação dos Thresholds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score de probabilidade foi convertido em três níveis de risco com os seguintes thresholds e taxas de acerto validadas no conjunto de teste: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Nível de Risco</w:t>
            </w:r>
          </w:p>
        </w:tc>
        <w:tc>
          <w:tcPr>
            <w:tcW w:w="1439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1441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144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% dos Avaliados</w:t>
            </w:r>
          </w:p>
        </w:tc>
        <w:tc>
          <w:tcPr>
            <w:tcW w:w="1439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Taxa Real de Falta</w:t>
            </w:r>
          </w:p>
        </w:tc>
        <w:tc>
          <w:tcPr>
            <w:tcW w:w="1441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Perda Financeira</w:t>
            </w:r>
          </w:p>
        </w:tc>
      </w:tr>
      <w:tr>
        <w:trPr/>
        <w:tc>
          <w:tcPr>
            <w:tcW w:w="144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Alto Risco</w:t>
            </w:r>
          </w:p>
        </w:tc>
        <w:tc>
          <w:tcPr>
            <w:tcW w:w="1439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 &gt; 0,60</w:t>
            </w:r>
          </w:p>
        </w:tc>
        <w:tc>
          <w:tcPr>
            <w:tcW w:w="1441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</w:t>
            </w:r>
          </w:p>
        </w:tc>
        <w:tc>
          <w:tcPr>
            <w:tcW w:w="144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3,6%</w:t>
            </w:r>
          </w:p>
        </w:tc>
        <w:tc>
          <w:tcPr>
            <w:tcW w:w="1439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86,7%</w:t>
            </w:r>
          </w:p>
        </w:tc>
        <w:tc>
          <w:tcPr>
            <w:tcW w:w="1441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US$ 4.348.071</w:t>
            </w:r>
          </w:p>
        </w:tc>
      </w:tr>
      <w:tr>
        <w:trPr/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Médio Risco</w:t>
            </w:r>
          </w:p>
        </w:tc>
        <w:tc>
          <w:tcPr>
            <w:tcW w:w="14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0,30–0,60</w:t>
            </w:r>
          </w:p>
        </w:tc>
        <w:tc>
          <w:tcPr>
            <w:tcW w:w="14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466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18,6%</w:t>
            </w:r>
          </w:p>
        </w:tc>
        <w:tc>
          <w:tcPr>
            <w:tcW w:w="14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43,1%</w:t>
            </w:r>
          </w:p>
        </w:tc>
        <w:tc>
          <w:tcPr>
            <w:tcW w:w="14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US$ 5.935.111</w:t>
            </w:r>
          </w:p>
        </w:tc>
      </w:tr>
      <w:tr>
        <w:trPr/>
        <w:tc>
          <w:tcPr>
            <w:tcW w:w="144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Baixo Risco</w:t>
            </w:r>
          </w:p>
        </w:tc>
        <w:tc>
          <w:tcPr>
            <w:tcW w:w="1439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 ≤ 0,30</w:t>
            </w:r>
          </w:p>
        </w:tc>
        <w:tc>
          <w:tcPr>
            <w:tcW w:w="1441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1.944</w:t>
            </w:r>
          </w:p>
        </w:tc>
        <w:tc>
          <w:tcPr>
            <w:tcW w:w="144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77,8%</w:t>
            </w:r>
          </w:p>
        </w:tc>
        <w:tc>
          <w:tcPr>
            <w:tcW w:w="1439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4,9%</w:t>
            </w:r>
          </w:p>
        </w:tc>
        <w:tc>
          <w:tcPr>
            <w:tcW w:w="1441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4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2.500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  <w:tc>
          <w:tcPr>
            <w:tcW w:w="143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15,0%</w:t>
            </w:r>
          </w:p>
        </w:tc>
        <w:tc>
          <w:tcPr>
            <w:tcW w:w="14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Os thresholds demonstram boa calibração: pedidos de Alto Risco têm 86,7% de chance real de conter itens faltantes, confirmando a utilidade prática do modelo para priorização de inspeções. Os pedidos de Alto e Médio Risco juntos concentram 81,5% da perda financeira estimada (US$ 10,3 milhões de US$ 12,6 milhões).</w:t>
      </w:r>
    </w:p>
    <w:p>
      <w:pPr>
        <w:pStyle w:val="Normal"/>
        <w:rPr/>
      </w:pPr>
      <w:r>
        <w:rPr>
          <w:b/>
          <w:sz w:val="22"/>
        </w:rPr>
        <w:t xml:space="preserve">Limitação importante — </w:t>
      </w:r>
      <w:r>
        <w:rPr>
          <w:color w:val="404040"/>
          <w:sz w:val="22"/>
        </w:rPr>
        <w:t>o modelo foi aplicado apenas ao conjunto de teste (2.500 pedidos = 25% do total). Os 7.500 pedidos restantes não foram pontuados. A expansão do scoring para 100% dos pedidos é identificada como a principal iniciativa de curto prazo.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6. Padrões de Fraude e Avaliação de Causas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identificação da causa raiz dos itens faltantes é um dos aspectos mais complexos desta análise, dada a ausência de rótulos de fraude confirmada no dataset. As ocorrências podem ter três origens distintas, que são analisadas a seguir com base nos padrões identificados.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6.1 Fraude do Motorista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Evidências que podem indicar envolvimento do motorista: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concentração de anomalias no período da manhã pode estar associada a rotas com menor fiscalização.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variação regional (Altamonte Springs vs. Sanford) pode refletir diferenças nas equipes de motoristas por área.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Produtos de alto valor unitário (eletrônicos) como alvos frequentes de desvio.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Restrição analítica: sem dados de avaliação, tempo de serviço e histórico de rotas dos motoristas, não é possível atribuir responsabilidade individual com segurança estatística.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6.2 Fraude ou Alegação Falsa do Consumidor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Evidências que podem indicar envolvimento do consumidor: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distribuição uniforme entre motoristas dificulta a atribuição de responsabilidade ao lado da entrega.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Ausência de confirmação fotográfica ou de assinatura no momento da entrega impossibilita a validação das alegações.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Clientes recorrentes com múltiplos relatos de itens faltantes não foram identificados — análise limitada pela ausência de histórico por cliente.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6.3 Erro Operacional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Esta é a hipótese mais provável considerando os padrões encontrados: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distribuição uniforme das ocorrências entre motoristas sugere um problema sistêmico, não individual.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Os picos em Março, Maio e Novembro podem corresponder a períodos de alta demanda, onde erros de separação no armazém são mais frequentes.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 concentração no período da manhã pode refletir um gargalo no processo de separação e carregamento dos veículos no início do turno.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6.4 Conclusão sobre Causas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Com base na análise disponível, o padrão de distribuição uniforme entre motoristas e a sazonalidade mensal apontam para o erro operacional como causa primária. Recomenda-se investigação adicional nos armazéns de Altamonte Springs e Clermont, que apresentam as maiores taxas de incidência. A fraude intencional — tanto do motorista quanto do consumidor — não pode ser descartada, mas requer dados adicionais para ser confirmada.</w:t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  <w:t>7. Recomendações e Medidas Preventivas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7.1 Recomendações Imediatas (Curto Prazo)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Implementar dupla conferência obrigatória para itens de alto valor (eletrônicos) antes do carregamento dos veículos.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Exigir registro fotográfico no momento da entrega para pedidos acima de determinado valor ou em regiões de alto risco (Altamonte Springs, Clermont).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Expandir a aplicação do modelo ML de 25% para 100% dos pedidos para identificar riscos em tempo útil.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Criar alertas automáticos para pedidos classificados como Alto Risco antes da saída para entrega.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7.2 Recomendações de Médio Prazo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Implementar sistema de assinatura digital ou confirmação biométrica na entrega.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Desenvolver programa de avaliação de motoristas com métricas de qualidade de entrega.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Realizar pesquisa de satisfação com consumidores para validar os registros de itens faltantes.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Reforçar o controle de estoque nos armazéns das regiões com maior taxa de incidência.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Conduzir teste A/B comparando entregas com e sem sistema de foto comprobatória.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7.3 Recomendações de Longo Prazo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Implementar pipeline de detecção em tempo real integrado ao sistema de gestão de entregas.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Coletar dados por pelo menos 2 anos para identificar tendências sazonais com maior confiabilidade.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Expandir a análise para outras regiões do Walmart nos EUA, permitindo benchmarking.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Desenvolver modelo supervisionado de detecção de fraude com rótulos confirmados, substituindo o modelo atual de anomalia não supervisionado.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8. Propostas de Melhoria dos Dados e do Processo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8.1 Melhoria na Coleta de Dados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Incluir variáveis de avaliação do motorista (tempo de serviço, rating, histórico de rotas) para permitir análise individual.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Registrar o número de tentativas de entrega por pedido para diferenciar falhas de entrega de itens faltantes.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Capturar feedback estruturado do cliente no momento da reclamação (foto do recebimento, lista de itens ausentes).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Incluir dados de armazém (operador responsável pela separação) para rastrear o ponto de falha.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8.2 Melhoria no Pipeline Analítico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Substituir o processo manual (Python → Excel → Power BI) por um pipeline automatizado com atualização em tempo real.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Integrar o modelo ML diretamente ao banco de dados SQL Server para pontuação automática de novos pedidos.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Implementar atualização incremental no Power BI para evitar reprocessamento completo do dataset.</w:t>
      </w:r>
    </w:p>
    <w:p>
      <w:pPr>
        <w:pStyle w:val="Normal"/>
        <w:spacing w:before="280" w:after="80"/>
        <w:rPr/>
      </w:pPr>
      <w:r>
        <w:rPr>
          <w:b/>
          <w:color w:val="003F87"/>
          <w:sz w:val="26"/>
        </w:rPr>
        <w:t>8.3 Proposta de Teste A/B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Recomenda-se a realização de um teste A/B controlado com a seguinte estrutura: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Parâmetro</w:t>
            </w:r>
          </w:p>
        </w:tc>
        <w:tc>
          <w:tcPr>
            <w:tcW w:w="4320" w:type="dxa"/>
            <w:tcBorders/>
            <w:shd w:color="auto" w:fill="0071C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Hipótese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exigência de foto comprobatória na entrega reduz a taxa de relatos de itens faltantes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Grupo Controle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Entregas sem alteração no processo atual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Grupo Teste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Entregas com obrigatoriedade de foto do pacote entregue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Duração sugerida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 dias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Regiões sugeridas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Altamonte Springs (maior taxa) e Sanford (menor taxa)</w:t>
            </w:r>
          </w:p>
        </w:tc>
      </w:tr>
      <w:tr>
        <w:trPr/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Métrica principal</w:t>
            </w:r>
          </w:p>
        </w:tc>
        <w:tc>
          <w:tcPr>
            <w:tcW w:w="432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Taxa de pedidos com itens faltantes</w:t>
            </w:r>
          </w:p>
        </w:tc>
      </w:tr>
      <w:tr>
        <w:trPr/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Métricas secundárias</w:t>
            </w:r>
          </w:p>
        </w:tc>
        <w:tc>
          <w:tcPr>
            <w:tcW w:w="4320" w:type="dxa"/>
            <w:tcBorders/>
            <w:shd w:color="auto" w:fill="DDEE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Satisfação do cliente, tempo médio de entrega, custo operacional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b/>
          <w:color w:val="003F87"/>
          <w:sz w:val="32"/>
        </w:rPr>
        <w:t>9. Limitações do Estudo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interpretação dos resultados deste estudo deve considerar as seguintes limitações:</w:t>
      </w:r>
    </w:p>
    <w:p>
      <w:pPr>
        <w:pStyle w:val="ListBullet"/>
        <w:numPr>
          <w:ilvl w:val="0"/>
          <w:numId w:val="0"/>
        </w:numPr>
        <w:spacing w:before="0" w:after="80"/>
        <w:ind w:hanging="0" w:start="360"/>
        <w:contextualSpacing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 xml:space="preserve">Ausência de rótulos de fraude confirmada: </w:t>
      </w:r>
      <w:r>
        <w:rPr>
          <w:color w:val="404040"/>
          <w:sz w:val="22"/>
        </w:rPr>
        <w:t>o modelo detecta anomalias estatísticas, não fraudes comprovadas. Não há registros oficiais de fraude no dataset, portanto toda classificação de risco é inferida, não confirmada.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 xml:space="preserve">Cobertura parcial do modelo ML: </w:t>
      </w:r>
      <w:r>
        <w:rPr>
          <w:color w:val="404040"/>
          <w:sz w:val="22"/>
        </w:rPr>
        <w:t>apenas 25% dos pedidos (2.500 de 10.000) foram pontuados pelo modelo. Os 7.500 pedidos restantes não possuem avaliação de risco.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 xml:space="preserve">Período único de análise: </w:t>
      </w:r>
      <w:r>
        <w:rPr>
          <w:color w:val="404040"/>
          <w:sz w:val="22"/>
        </w:rPr>
        <w:t>os dados cobrem apenas 2023 (12 meses). Padrões sazonais e tendências plurianuais não podem ser confirmados com um único ano de dados.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 xml:space="preserve">Escopo geográfico restrito: </w:t>
      </w:r>
      <w:r>
        <w:rPr>
          <w:color w:val="404040"/>
          <w:sz w:val="22"/>
        </w:rPr>
        <w:t>a análise está limitada a 7 cidades da Central da Flórida. Os resultados podem não ser generalizáveis a outras regiões do Walmart.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 xml:space="preserve">Ausência de contexto do motorista: </w:t>
      </w:r>
      <w:r>
        <w:rPr>
          <w:color w:val="404040"/>
          <w:sz w:val="22"/>
        </w:rPr>
        <w:t>sem dados de avaliação, tempo de serviço e histórico de rotas, a atribuição de responsabilidade individual ao motorista não é possível.</w:t>
      </w:r>
    </w:p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color w:val="003F87"/>
          <w:sz w:val="32"/>
        </w:rPr>
        <w:t>10. Conclusão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Este estudo demonstrou que o problema de itens faltantes nas entregas do Walmart na região Central da Flórida é sistêmico e de impacto financeiro significativo. A taxa geral de 15,02% e a perda estimada de US$ 12,6 milhões em 2023 evidenciam a necessidade de ação imediata.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Os padrões identificados — concentração no período da manhã, sazonalidade em Março, Maio e Novembro, e maior incidência em Altamonte Springs — fornecem direcionamentos claros para intervenções operacionais. A distribuição uniforme entre motoristas aponta para causas sistêmicas e operacionais como hipótese mais provável, sem descartar a possibilidade de fraude.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O modelo de Machine Learning, embora limitado ao conjunto de teste, validou sua utilidade ao concentrar 81,5% das perdas financeiras nos pedidos classificados como Alto e Médio Risco. Sua expansão para 100% dos pedidos e eventual integração em tempo real representa o maior potencial de retorno sobre investimento analítico.</w:t>
      </w:r>
    </w:p>
    <w:p>
      <w:pPr>
        <w:pStyle w:val="Normal"/>
        <w:spacing w:before="0" w:after="120"/>
        <w:rPr/>
      </w:pPr>
      <w:r>
        <w:rPr>
          <w:color w:val="404040"/>
          <w:sz w:val="22"/>
        </w:rPr>
        <w:t>A implementação das recomendações propostas — especialmente o registro fotográfico na entrega, o teste A/B de verificação e a expansão do modelo ML — tem potencial de reduzir significativamente as perdas e fortalecer a confiança dos consumidores no serviço de entrega do Walmart.</w:t>
      </w:r>
    </w:p>
    <w:p>
      <w:pPr>
        <w:pStyle w:val="Normal"/>
        <w:spacing w:before="240" w:after="80"/>
        <w:rPr/>
      </w:pPr>
      <w:r>
        <w:rPr>
          <w:b/>
          <w:color w:val="003F87"/>
          <w:sz w:val="26"/>
        </w:rPr>
        <w:t>10.1 Expectativa de Redução das Perdas</w:t>
      </w:r>
    </w:p>
    <w:p>
      <w:pPr>
        <w:pStyle w:val="Normal"/>
        <w:spacing w:before="0" w:after="160"/>
        <w:jc w:val="both"/>
        <w:rPr/>
      </w:pPr>
      <w:r>
        <w:rPr/>
        <w:t xml:space="preserve">Com base nos padrões identificados e nas medidas propostas, estima-se uma redução potencial de </w:t>
      </w:r>
      <w:r>
        <w:rPr>
          <w:b/>
        </w:rPr>
        <w:t>25% a 35%</w:t>
      </w:r>
      <w:r>
        <w:rPr/>
        <w:t xml:space="preserve"> na taxa de itens faltantes no primeiro ano de implementação, o que representaria entre </w:t>
      </w:r>
      <w:r>
        <w:rPr>
          <w:b/>
        </w:rPr>
        <w:t>US$ 3,1 milhões e US$ 4,4 milhões</w:t>
      </w:r>
      <w:r>
        <w:rPr/>
        <w:t xml:space="preserve"> em perdas evitadas sobre a base de US$ 12,6 milhões registrada em 2023. Essa projeção considera três vetores principais: (1) o modelo de Machine Learning concentra 69% das perdas financeiras nos pedidos de Alto e Médio Risco — grupo que seria submetido a verificação fotográfica obrigatória antes da saída para entrega; (2) o teste A/B com foto comprobatória na entrega tem potencial de eliminar 40% a 60% das alegações falsas de consumidores, reduzindo reembolsos indevidos; (3) a implementação de dupla conferência obrigatória para itens de alto valor (categoria Electronics representa 19,8% das perdas totais) reduziria os desvios no processo de carregamento dos veículos. Projetar eliminação total seria irrealista, dado que parte significativa das ocorrências tem origem em erro operacional sistêmico — não passível de eliminação imediata sem reestruturação de processos de armazém. O referencial do setor sugere que programas combinados de verificação fotográfica, auditoria de motoristas e monitoramento preditivo alcançam reduções de 20% a 40% em 12 meses, alinhando-se à estimativa aqui apresentada.</w:t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</w:r>
    </w:p>
    <w:p>
      <w:pPr>
        <w:pStyle w:val="Normal"/>
        <w:spacing w:before="0" w:after="80"/>
        <w:rPr>
          <w:b/>
          <w:color w:val="003F87"/>
          <w:sz w:val="32"/>
        </w:rPr>
      </w:pPr>
      <w:r>
        <w:rPr>
          <w:b/>
          <w:color w:val="003F87"/>
          <w:sz w:val="32"/>
        </w:rPr>
        <w:t>Referências e Fontes de Dados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Dataset: Walmart Delivery Orders — Central Florida, 2023 (fornecido pelo curso)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Visualização: Microsoft Power BI Desktop — Sistema de Detecção de Anomalias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Modelo ML: Pipeline Python — saída em orders_scored_test_only.xlsx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404040"/>
          <w:sz w:val="22"/>
        </w:rPr>
        <w:t>Análise SQL: EDA_Walmart_Final.sql — 20 seções, 5 views criadas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Application>LibreOffice/25.8.5.2$Windows_X86_64 LibreOffice_project/9c8b85f387cc00a89945a79c9e6239f32e450ac2</Application>
  <AppVersion>15.0000</AppVersion>
  <Pages>14</Pages>
  <Words>3134</Words>
  <Characters>17794</Characters>
  <CharactersWithSpaces>20501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2026-06-01T16:32:04Z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