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9C277D" w:rsidRPr="007F5750">
            <w:rPr>
              <w:rStyle w:val="Hipervnculo"/>
            </w:rPr>
            <w:fldChar w:fldCharType="begin"/>
          </w:r>
          <w:r w:rsidR="009C277D" w:rsidRPr="007F5750">
            <w:rPr>
              <w:rStyle w:val="Hipervnculo"/>
            </w:rPr>
            <w:instrText xml:space="preserve"> </w:instrText>
          </w:r>
          <w:r w:rsidR="009C277D">
            <w:instrText>HYPERLINK \l "_Toc125704530"</w:instrText>
          </w:r>
          <w:r w:rsidR="009C277D" w:rsidRPr="007F5750">
            <w:rPr>
              <w:rStyle w:val="Hipervnculo"/>
            </w:rPr>
            <w:instrText xml:space="preserve"> </w:instrText>
          </w:r>
          <w:r w:rsidR="009C277D" w:rsidRPr="007F5750">
            <w:rPr>
              <w:rStyle w:val="Hipervnculo"/>
            </w:rPr>
          </w:r>
          <w:r w:rsidR="009C277D" w:rsidRPr="007F5750">
            <w:rPr>
              <w:rStyle w:val="Hipervnculo"/>
            </w:rPr>
            <w:fldChar w:fldCharType="separate"/>
          </w:r>
          <w:r w:rsidR="009C277D" w:rsidRPr="007F5750">
            <w:rPr>
              <w:rStyle w:val="Hipervnculo"/>
            </w:rPr>
            <w:t>Objetivo</w:t>
          </w:r>
          <w:r w:rsidR="009C277D">
            <w:rPr>
              <w:webHidden/>
            </w:rPr>
            <w:tab/>
          </w:r>
          <w:r w:rsidR="009C277D">
            <w:rPr>
              <w:webHidden/>
            </w:rPr>
            <w:fldChar w:fldCharType="begin"/>
          </w:r>
          <w:r w:rsidR="009C277D">
            <w:rPr>
              <w:webHidden/>
            </w:rPr>
            <w:instrText xml:space="preserve"> PAGEREF _Toc125704530 \h </w:instrText>
          </w:r>
          <w:r w:rsidR="009C277D">
            <w:rPr>
              <w:webHidden/>
            </w:rPr>
          </w:r>
          <w:r w:rsidR="009C277D">
            <w:rPr>
              <w:webHidden/>
            </w:rPr>
            <w:fldChar w:fldCharType="separate"/>
          </w:r>
          <w:r w:rsidR="009C277D">
            <w:rPr>
              <w:webHidden/>
            </w:rPr>
            <w:t>3</w:t>
          </w:r>
          <w:r w:rsidR="009C277D">
            <w:rPr>
              <w:webHidden/>
            </w:rPr>
            <w:fldChar w:fldCharType="end"/>
          </w:r>
          <w:r w:rsidR="009C277D" w:rsidRPr="007F5750">
            <w:rPr>
              <w:rStyle w:val="Hipervnculo"/>
            </w:rPr>
            <w:fldChar w:fldCharType="end"/>
          </w:r>
        </w:p>
        <w:p w14:paraId="69ABD99A" w14:textId="256D0E51" w:rsidR="009C277D" w:rsidRDefault="009C27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Pr="007F575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_Toc125704531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C7E70E" w14:textId="245BCA09" w:rsidR="009C277D" w:rsidRDefault="009C27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Pr="007F575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_Toc125704532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F7AC1A" w14:textId="7CDDC2FA" w:rsidR="009C277D" w:rsidRDefault="009C27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Pr="007F5750">
              <w:rPr>
                <w:rStyle w:val="Hipervnculo"/>
              </w:rPr>
              <w:t>DIVISAS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_Toc125704533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9214C6" w14:textId="5B345EFD" w:rsidR="009C277D" w:rsidRDefault="009C277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Pr="007F5750">
              <w:rPr>
                <w:rStyle w:val="Hipervnculo"/>
              </w:rPr>
              <w:t>Administración de Divisas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_Toc125704534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r w:rsidRPr="002325F1">
        <w:rPr>
          <w:rFonts w:cs="Arial"/>
        </w:rPr>
        <w:t>Objetivo</w:t>
      </w:r>
      <w:bookmarkEnd w:id="1"/>
      <w:bookmarkEnd w:id="2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04532"/>
      <w:r w:rsidRPr="002325F1">
        <w:rPr>
          <w:rFonts w:cs="Arial"/>
        </w:rPr>
        <w:t>Usuario</w:t>
      </w:r>
      <w:bookmarkEnd w:id="5"/>
      <w:bookmarkEnd w:id="6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7" w:name="_Toc125704533"/>
      <w:r>
        <w:rPr>
          <w:rFonts w:cs="Arial"/>
          <w:sz w:val="44"/>
          <w:szCs w:val="44"/>
        </w:rPr>
        <w:t>DIVISAS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12DFF">
        <w:rPr>
          <w:rFonts w:cs="Arial"/>
        </w:rPr>
        <w:t>Divisas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114D4FC1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29922023" wp14:editId="1B8EF3C1">
            <wp:extent cx="5612130" cy="1043091"/>
            <wp:effectExtent l="152400" t="152400" r="350520" b="36703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5612130" cy="1043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A223E" w14:textId="77777777" w:rsidR="00FD08EB" w:rsidRDefault="00FD08EB" w:rsidP="000651DA">
      <w:pPr>
        <w:spacing w:after="0" w:line="240" w:lineRule="auto"/>
      </w:pPr>
      <w:r>
        <w:separator/>
      </w:r>
    </w:p>
  </w:endnote>
  <w:endnote w:type="continuationSeparator" w:id="0">
    <w:p w14:paraId="49DD4427" w14:textId="77777777" w:rsidR="00FD08EB" w:rsidRDefault="00FD08E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85489E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277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277D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703C" w14:textId="77777777" w:rsidR="00FD08EB" w:rsidRDefault="00FD08EB" w:rsidP="000651DA">
      <w:pPr>
        <w:spacing w:after="0" w:line="240" w:lineRule="auto"/>
      </w:pPr>
      <w:r>
        <w:separator/>
      </w:r>
    </w:p>
  </w:footnote>
  <w:footnote w:type="continuationSeparator" w:id="0">
    <w:p w14:paraId="3342C31B" w14:textId="77777777" w:rsidR="00FD08EB" w:rsidRDefault="00FD08E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E3AB-FD61-4F1E-8D2E-C5799E29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2023-01-27T15:17:00Z</dcterms:created>
  <dcterms:modified xsi:type="dcterms:W3CDTF">2023-01-27T15:35:00Z</dcterms:modified>
</cp:coreProperties>
</file>