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>Recursos a Municipios y Entidades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D6737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Octubre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D67377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D67377">
        <w:rPr>
          <w:rFonts w:ascii="Arial" w:hAnsi="Arial" w:cs="Arial"/>
          <w:sz w:val="20"/>
          <w:szCs w:val="20"/>
        </w:rPr>
        <w:t>octubre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proofErr w:type="spellStart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</w:t>
      </w:r>
      <w:proofErr w:type="spellEnd"/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Default="0093414F" w:rsidP="0093414F">
      <w:pPr>
        <w:pStyle w:val="Prrafodelista"/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C77BD0" w:rsidRDefault="00ED060B" w:rsidP="00C9385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presentó la maqueta de </w:t>
      </w:r>
      <w:r w:rsidR="00B2321C">
        <w:rPr>
          <w:rFonts w:ascii="Arial" w:eastAsia="Calibri" w:hAnsi="Arial" w:cs="Arial"/>
          <w:bCs/>
          <w:iCs/>
          <w:sz w:val="24"/>
          <w:lang w:val="es-MX"/>
        </w:rPr>
        <w:t>Organismos</w:t>
      </w:r>
      <w:r w:rsidR="003402EE">
        <w:rPr>
          <w:rFonts w:ascii="Arial" w:eastAsia="Calibri" w:hAnsi="Arial" w:cs="Arial"/>
          <w:bCs/>
          <w:iCs/>
          <w:sz w:val="24"/>
          <w:lang w:val="es-MX"/>
        </w:rPr>
        <w:t xml:space="preserve"> a los usuarios</w:t>
      </w:r>
      <w:r w:rsidR="00B2321C">
        <w:rPr>
          <w:rFonts w:ascii="Arial" w:eastAsia="Calibri" w:hAnsi="Arial" w:cs="Arial"/>
          <w:bCs/>
          <w:iCs/>
          <w:sz w:val="24"/>
          <w:lang w:val="es-MX"/>
        </w:rPr>
        <w:t xml:space="preserve"> coordinadores de DAMOP, la retroalimentación que recibimos es que están de acuerdo con la maqueta mostrada y el proceso propuesto, si hay algún cambio que necesiten, se irá viendo conforme a la marcha.</w:t>
      </w:r>
    </w:p>
    <w:p w:rsidR="0079518E" w:rsidRDefault="0079518E" w:rsidP="0025498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3D531A" w:rsidRDefault="00892364" w:rsidP="003D531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394D57E" wp14:editId="5B0D33F5">
            <wp:extent cx="3638550" cy="17608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555" cy="17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3D531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proceso Pensiones Vitalicias – Proceso DAMOP</w:t>
      </w:r>
    </w:p>
    <w:p w:rsidR="00282144" w:rsidRDefault="00282144" w:rsidP="0025498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3D531A" w:rsidRDefault="00892364" w:rsidP="003D531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9DB422D" wp14:editId="5ACBC157">
            <wp:extent cx="3076575" cy="15264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928" cy="15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3D531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Acceso a un Organismo </w:t>
      </w:r>
    </w:p>
    <w:p w:rsidR="00C9385C" w:rsidRDefault="00C9385C" w:rsidP="005E2B19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bookmarkStart w:id="4" w:name="_GoBack"/>
      <w:bookmarkEnd w:id="4"/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8310EF">
        <w:rPr>
          <w:rFonts w:ascii="Arial" w:eastAsia="Calibri" w:hAnsi="Arial" w:cs="Arial"/>
          <w:bCs/>
          <w:iCs/>
          <w:sz w:val="24"/>
          <w:lang w:val="es-MX"/>
        </w:rPr>
        <w:t>encuentra en proceso la f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>ase 2 “Diseño y Desarrollo”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>(</w:t>
      </w:r>
      <w:proofErr w:type="spellStart"/>
      <w:r w:rsidR="00892364"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 w:rsidR="00892364"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 w:rsidR="00892364">
        <w:rPr>
          <w:rFonts w:ascii="Arial" w:eastAsia="Calibri" w:hAnsi="Arial" w:cs="Arial"/>
          <w:bCs/>
          <w:iCs/>
          <w:sz w:val="24"/>
          <w:lang w:val="es-MX"/>
        </w:rPr>
        <w:t>FrontE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>nd</w:t>
      </w:r>
      <w:proofErr w:type="spellEnd"/>
      <w:r w:rsidR="00892364">
        <w:rPr>
          <w:rFonts w:ascii="Arial" w:eastAsia="Calibri" w:hAnsi="Arial" w:cs="Arial"/>
          <w:bCs/>
          <w:iCs/>
          <w:sz w:val="24"/>
          <w:lang w:val="es-MX"/>
        </w:rPr>
        <w:t>)</w:t>
      </w:r>
    </w:p>
    <w:p w:rsidR="00C9385C" w:rsidRDefault="006224CD" w:rsidP="00410009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CA38402" wp14:editId="631E5324">
            <wp:extent cx="3152775" cy="20263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882" cy="20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5C" w:rsidRPr="00BA2D77" w:rsidRDefault="00C9385C" w:rsidP="00C9385C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="00892364">
        <w:rPr>
          <w:i/>
          <w:sz w:val="20"/>
        </w:rPr>
        <w:t xml:space="preserve"> % de avance de la fase 2</w:t>
      </w:r>
    </w:p>
    <w:p w:rsidR="00C9385C" w:rsidRDefault="00C9385C" w:rsidP="00C9385C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10009" w:rsidRDefault="00892364" w:rsidP="00892364">
      <w:pPr>
        <w:jc w:val="center"/>
        <w:rPr>
          <w:i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034A3E94" wp14:editId="0B2068EC">
            <wp:extent cx="4705823" cy="1457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240" cy="14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9" w:rsidRDefault="00410009" w:rsidP="00410009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 w:rsidR="00892364">
        <w:rPr>
          <w:i/>
          <w:sz w:val="20"/>
        </w:rPr>
        <w:t xml:space="preserve">Avance en el desarrollo </w:t>
      </w:r>
      <w:proofErr w:type="spellStart"/>
      <w:r w:rsidR="00892364">
        <w:rPr>
          <w:i/>
          <w:sz w:val="20"/>
        </w:rPr>
        <w:t>BackE</w:t>
      </w:r>
      <w:r>
        <w:rPr>
          <w:i/>
          <w:sz w:val="20"/>
        </w:rPr>
        <w:t>nd</w:t>
      </w:r>
      <w:proofErr w:type="spellEnd"/>
    </w:p>
    <w:p w:rsidR="00410009" w:rsidRDefault="00892364" w:rsidP="00B7349E">
      <w:pPr>
        <w:jc w:val="center"/>
        <w:rPr>
          <w:i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27339756" wp14:editId="0CB942E8">
            <wp:extent cx="4048125" cy="1189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315" cy="11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9" w:rsidRDefault="00410009" w:rsidP="00410009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 w:rsidR="00892364">
        <w:rPr>
          <w:i/>
          <w:sz w:val="20"/>
        </w:rPr>
        <w:t xml:space="preserve">Avance en el desarrollo </w:t>
      </w:r>
      <w:proofErr w:type="spellStart"/>
      <w:r w:rsidR="00892364">
        <w:rPr>
          <w:i/>
          <w:sz w:val="20"/>
        </w:rPr>
        <w:t>FrontE</w:t>
      </w:r>
      <w:r>
        <w:rPr>
          <w:i/>
          <w:sz w:val="20"/>
        </w:rPr>
        <w:t>nd</w:t>
      </w:r>
      <w:proofErr w:type="spellEnd"/>
    </w:p>
    <w:p w:rsidR="00B7349E" w:rsidRDefault="00B7349E" w:rsidP="00B7349E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</w:p>
    <w:p w:rsidR="00516DCA" w:rsidRDefault="00FB1033" w:rsidP="00516DC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49323B">
        <w:rPr>
          <w:rFonts w:ascii="Arial" w:eastAsia="Calibri" w:hAnsi="Arial" w:cs="Arial"/>
          <w:bCs/>
          <w:iCs/>
          <w:sz w:val="24"/>
          <w:lang w:val="es-MX"/>
        </w:rPr>
        <w:lastRenderedPageBreak/>
        <w:t>Se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 xml:space="preserve"> migró la información</w:t>
      </w:r>
      <w:r w:rsidR="00A75F0B">
        <w:rPr>
          <w:rFonts w:ascii="Arial" w:eastAsia="Calibri" w:hAnsi="Arial" w:cs="Arial"/>
          <w:bCs/>
          <w:iCs/>
          <w:sz w:val="24"/>
          <w:lang w:val="es-MX"/>
        </w:rPr>
        <w:t xml:space="preserve"> a través del proceso de carga masiva</w:t>
      </w:r>
      <w:r w:rsidR="00892364">
        <w:rPr>
          <w:rFonts w:ascii="Arial" w:eastAsia="Calibri" w:hAnsi="Arial" w:cs="Arial"/>
          <w:bCs/>
          <w:iCs/>
          <w:sz w:val="24"/>
          <w:lang w:val="es-MX"/>
        </w:rPr>
        <w:t xml:space="preserve"> en el entorno de desarrollo</w:t>
      </w:r>
      <w:r w:rsidR="006224CD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proporcionada por </w:t>
      </w:r>
      <w:r w:rsidR="006224CD">
        <w:rPr>
          <w:rFonts w:ascii="Arial" w:eastAsia="Calibri" w:hAnsi="Arial" w:cs="Arial"/>
          <w:bCs/>
          <w:iCs/>
          <w:sz w:val="24"/>
          <w:lang w:val="es-MX"/>
        </w:rPr>
        <w:t xml:space="preserve">el equipo de CPH para los catálogos de Municipios,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Municipios Población, 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 xml:space="preserve">Municipio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>Pobreza E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>xtrema, Municipio Proyección, Municipio Territorio, etc.</w:t>
      </w:r>
    </w:p>
    <w:p w:rsidR="00A75F0B" w:rsidRDefault="00A75F0B" w:rsidP="00A75F0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A75F0B" w:rsidRDefault="00A75F0B" w:rsidP="00A75F0B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2C6118A" wp14:editId="0D1C6564">
            <wp:extent cx="3686175" cy="16829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420" cy="16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B" w:rsidRDefault="00A75F0B" w:rsidP="00A75F0B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 w:rsidRPr="008D5216">
        <w:rPr>
          <w:i/>
          <w:sz w:val="20"/>
        </w:rPr>
        <w:t xml:space="preserve"> </w:t>
      </w:r>
      <w:r>
        <w:rPr>
          <w:i/>
          <w:sz w:val="20"/>
        </w:rPr>
        <w:t>Avance Migración carga masiva Municipio Población</w:t>
      </w:r>
    </w:p>
    <w:p w:rsidR="00A75F0B" w:rsidRPr="00516DCA" w:rsidRDefault="00A75F0B" w:rsidP="00A75F0B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24CD" w:rsidRDefault="006224CD" w:rsidP="00841AC1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 w:rsidRPr="006224CD">
        <w:rPr>
          <w:rFonts w:ascii="Arial" w:eastAsia="Calibri" w:hAnsi="Arial" w:cs="Arial"/>
          <w:bCs/>
          <w:iCs/>
          <w:sz w:val="24"/>
          <w:lang w:val="es-MX"/>
        </w:rPr>
        <w:t>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224CD">
        <w:rPr>
          <w:rFonts w:ascii="Arial" w:eastAsia="Calibri" w:hAnsi="Arial" w:cs="Arial"/>
          <w:bCs/>
          <w:iCs/>
          <w:sz w:val="24"/>
          <w:lang w:val="es-MX"/>
        </w:rPr>
        <w:t>partir de la</w:t>
      </w:r>
      <w:r w:rsidR="00841AC1">
        <w:rPr>
          <w:rFonts w:ascii="Arial" w:eastAsia="Calibri" w:hAnsi="Arial" w:cs="Arial"/>
          <w:bCs/>
          <w:iCs/>
          <w:sz w:val="24"/>
          <w:lang w:val="es-MX"/>
        </w:rPr>
        <w:t xml:space="preserve"> Informaci</w:t>
      </w:r>
      <w:r w:rsidR="001D29A8">
        <w:rPr>
          <w:rFonts w:ascii="Arial" w:eastAsia="Calibri" w:hAnsi="Arial" w:cs="Arial"/>
          <w:bCs/>
          <w:iCs/>
          <w:sz w:val="24"/>
          <w:lang w:val="es-MX"/>
        </w:rPr>
        <w:t>ón migrada</w:t>
      </w:r>
      <w:r w:rsidR="00A75F0B">
        <w:rPr>
          <w:rFonts w:ascii="Arial" w:eastAsia="Calibri" w:hAnsi="Arial" w:cs="Arial"/>
          <w:bCs/>
          <w:iCs/>
          <w:sz w:val="24"/>
          <w:lang w:val="es-MX"/>
        </w:rPr>
        <w:t>, se inició con el proceso de cálculos para:</w:t>
      </w:r>
      <w:r w:rsidR="00841AC1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841AC1" w:rsidRPr="00841AC1">
        <w:rPr>
          <w:rFonts w:ascii="Arial" w:eastAsia="Calibri" w:hAnsi="Arial" w:cs="Arial"/>
          <w:bCs/>
          <w:iCs/>
          <w:sz w:val="24"/>
          <w:lang w:val="es-MX"/>
        </w:rPr>
        <w:t xml:space="preserve">ICV, 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 xml:space="preserve">ISR </w:t>
      </w:r>
      <w:r w:rsidR="00841AC1" w:rsidRPr="00841AC1">
        <w:rPr>
          <w:rFonts w:ascii="Arial" w:eastAsia="Calibri" w:hAnsi="Arial" w:cs="Arial"/>
          <w:bCs/>
          <w:iCs/>
          <w:sz w:val="24"/>
          <w:lang w:val="es-MX"/>
        </w:rPr>
        <w:t>Bienes Inmuebles, FORTAMUN y FISM</w:t>
      </w:r>
      <w:r w:rsidR="00516DCA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D14BF" w:rsidRDefault="001D29A8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mostrado al usuario del área de CPH la plataforma en DEV</w:t>
      </w:r>
      <w:r w:rsidR="008310EF">
        <w:rPr>
          <w:rFonts w:ascii="Arial" w:eastAsia="Calibri" w:hAnsi="Arial" w:cs="Arial"/>
          <w:bCs/>
          <w:iCs/>
          <w:sz w:val="24"/>
          <w:lang w:val="es-MX"/>
        </w:rPr>
        <w:t xml:space="preserve"> los diferentes módulos de administración la vista de un usuario administrador y uno que no es administrador.</w:t>
      </w:r>
    </w:p>
    <w:p w:rsidR="00A75F0B" w:rsidRDefault="00A75F0B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 tenido contacto con el usuario para solicitar información para los cálculos y aclarando dudas para continuar con la construcción de cálculos.</w:t>
      </w:r>
    </w:p>
    <w:p w:rsidR="008C37D7" w:rsidRPr="00A75F0B" w:rsidRDefault="008C37D7" w:rsidP="00A75F0B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solicitó al equipo TI de SFTGE que nos configuren la IP fijas para los servidores que se usarán para DEV y QA.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2B4A4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AA6F6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C47FA5" w:rsidRPr="00B2321C" w:rsidRDefault="00B2321C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B2321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Proceso de cálculo Seguridad para Municipios</w:t>
            </w:r>
            <w:r w:rsidR="0055687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Proceso de cálculo Fondo Descentralizado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2B4A46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E674B9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Pruebas unitarias para migrar la información de manera masiva para los catálogo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s:</w:t>
            </w:r>
          </w:p>
          <w:p w:rsidR="00E674B9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unicipios</w:t>
            </w:r>
          </w:p>
          <w:p w:rsidR="00E674B9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 Pobreza</w:t>
            </w:r>
          </w:p>
          <w:p w:rsidR="00E674B9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 Pobreza E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xtrema</w:t>
            </w:r>
          </w:p>
          <w:p w:rsidR="00E674B9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 T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erritorio</w:t>
            </w:r>
          </w:p>
          <w:p w:rsidR="00413737" w:rsidRPr="00EC05F7" w:rsidRDefault="00A75F0B" w:rsidP="00EC05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 Poblaci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ón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Arquitect, DBA</w:t>
            </w:r>
          </w:p>
        </w:tc>
      </w:tr>
      <w:tr w:rsidR="00BF7BFC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3A24DD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BF7BFC" w:rsidRDefault="009B0107" w:rsidP="00BF7BF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Servidor de QA</w:t>
            </w:r>
            <w:r w:rsidR="00A75F0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10.200.4.77</w:t>
            </w:r>
            <w:r w:rsidR="00E674B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]</w:t>
            </w:r>
          </w:p>
          <w:p w:rsidR="009B0107" w:rsidRPr="00372A66" w:rsidRDefault="009B0107" w:rsidP="009B01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MaríaDB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versión 10.8.4</w:t>
            </w:r>
          </w:p>
        </w:tc>
        <w:tc>
          <w:tcPr>
            <w:tcW w:w="2127" w:type="dxa"/>
            <w:noWrap/>
          </w:tcPr>
          <w:p w:rsidR="00BF7BFC" w:rsidRPr="00423135" w:rsidRDefault="00BF7BFC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BF7BFC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3A24DD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BF7BFC" w:rsidRPr="00BF7BFC" w:rsidRDefault="008C37D7" w:rsidP="00B232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de roles y permisos para usuarios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root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, y consulta para las BD PDRMYE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TiCENTRAL</w:t>
            </w:r>
            <w:proofErr w:type="spellEnd"/>
          </w:p>
        </w:tc>
        <w:tc>
          <w:tcPr>
            <w:tcW w:w="2127" w:type="dxa"/>
            <w:noWrap/>
          </w:tcPr>
          <w:p w:rsidR="00BF7BFC" w:rsidRDefault="00BF7BFC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BF7BFC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Pr="004A07D9" w:rsidRDefault="00BF7BFC" w:rsidP="009F63E9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F7BFC" w:rsidRPr="002F5DC5" w:rsidRDefault="008C37D7" w:rsidP="004A07D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montó una réplica de BD de PDRMYE y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TiCentral</w:t>
            </w:r>
            <w:proofErr w:type="spellEnd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para el entorno de QA</w:t>
            </w:r>
          </w:p>
        </w:tc>
        <w:tc>
          <w:tcPr>
            <w:tcW w:w="2127" w:type="dxa"/>
            <w:noWrap/>
          </w:tcPr>
          <w:p w:rsidR="00BF7BFC" w:rsidRPr="004A07D9" w:rsidRDefault="00BF7BFC" w:rsidP="00E674B9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BF7BFC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F7BFC" w:rsidRDefault="00BF7BFC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F7BFC" w:rsidRDefault="008C37D7" w:rsidP="003434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proceso para generar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backups</w:t>
            </w:r>
            <w:proofErr w:type="spellEnd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bases de datos en automático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se replicará en DEV , QA y en un futuro, ambiente productivo producción</w:t>
            </w:r>
          </w:p>
        </w:tc>
        <w:tc>
          <w:tcPr>
            <w:tcW w:w="2127" w:type="dxa"/>
            <w:noWrap/>
          </w:tcPr>
          <w:p w:rsidR="00BF7BFC" w:rsidRDefault="00BF7BFC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674B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674B9" w:rsidRP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E674B9" w:rsidRDefault="008C37D7" w:rsidP="003434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Deploy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el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react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servidor de DEV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10.200.4.106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]</w:t>
            </w:r>
          </w:p>
        </w:tc>
        <w:tc>
          <w:tcPr>
            <w:tcW w:w="2127" w:type="dxa"/>
            <w:noWrap/>
          </w:tcPr>
          <w:p w:rsidR="00E674B9" w:rsidRDefault="00EE2E1B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8C37D7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C37D7" w:rsidRP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8C37D7" w:rsidRDefault="008C37D7" w:rsidP="003434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Configuraciones en ambiente DEV para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deploys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laravel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ervidor de DEV 10.200.4.105</w:t>
            </w:r>
          </w:p>
        </w:tc>
        <w:tc>
          <w:tcPr>
            <w:tcW w:w="2127" w:type="dxa"/>
            <w:noWrap/>
          </w:tcPr>
          <w:p w:rsidR="008C37D7" w:rsidRDefault="008C37D7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8C37D7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C37D7" w:rsidRP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8C37D7" w:rsidRDefault="008C37D7" w:rsidP="003434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8C37D7" w:rsidRDefault="008C37D7" w:rsidP="00BF7BFC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8C37D7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C37D7" w:rsidRDefault="008C37D7" w:rsidP="00BF7BFC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8C37D7" w:rsidRDefault="008C37D7" w:rsidP="003434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8C37D7" w:rsidRDefault="008C37D7" w:rsidP="00BF7BFC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384107" w:rsidRPr="00384107" w:rsidRDefault="00384107" w:rsidP="00C929FC">
      <w:pPr>
        <w:pStyle w:val="Ttulo1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084CAC" w:rsidRPr="00C929FC" w:rsidRDefault="00084CAC" w:rsidP="00C929FC">
      <w:pPr>
        <w:pStyle w:val="Ttulo1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4C8" w:rsidRDefault="000F04C8" w:rsidP="00423135">
      <w:pPr>
        <w:spacing w:after="0" w:line="240" w:lineRule="auto"/>
      </w:pPr>
      <w:r>
        <w:separator/>
      </w:r>
    </w:p>
  </w:endnote>
  <w:endnote w:type="continuationSeparator" w:id="0">
    <w:p w:rsidR="000F04C8" w:rsidRDefault="000F04C8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4C8" w:rsidRDefault="000F04C8" w:rsidP="00423135">
      <w:pPr>
        <w:spacing w:after="0" w:line="240" w:lineRule="auto"/>
      </w:pPr>
      <w:r>
        <w:separator/>
      </w:r>
    </w:p>
  </w:footnote>
  <w:footnote w:type="continuationSeparator" w:id="0">
    <w:p w:rsidR="000F04C8" w:rsidRDefault="000F04C8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4372C3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proofErr w:type="spellStart"/>
          <w:r w:rsidR="00206908">
            <w:rPr>
              <w:rFonts w:ascii="Arial" w:hAnsi="Arial" w:cs="Arial"/>
            </w:rPr>
            <w:t>PDRMyE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D67377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Octubre</w:t>
          </w:r>
          <w:r w:rsidR="00C00278">
            <w:rPr>
              <w:rFonts w:ascii="Arial" w:hAnsi="Arial" w:cs="Arial"/>
            </w:rPr>
            <w:t xml:space="preserve"> </w:t>
          </w:r>
          <w:r w:rsidR="004372C3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866D00" w:rsidTr="00D65DD1">
      <w:tc>
        <w:tcPr>
          <w:tcW w:w="2706" w:type="dxa"/>
          <w:vMerge/>
        </w:tcPr>
        <w:p w:rsidR="00866D00" w:rsidRDefault="00866D00" w:rsidP="00866D00">
          <w:pPr>
            <w:pStyle w:val="Encabezado"/>
          </w:pPr>
        </w:p>
      </w:tc>
      <w:tc>
        <w:tcPr>
          <w:tcW w:w="1707" w:type="dxa"/>
        </w:tcPr>
        <w:p w:rsidR="00866D00" w:rsidRPr="00423135" w:rsidRDefault="00866D00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  <w:proofErr w:type="spellStart"/>
          <w:r w:rsidR="00280483">
            <w:rPr>
              <w:rFonts w:ascii="Arial" w:hAnsi="Arial" w:cs="Arial"/>
              <w:b/>
            </w:rPr>
            <w:t>PDRMyE</w:t>
          </w:r>
          <w:proofErr w:type="spellEnd"/>
        </w:p>
      </w:tc>
      <w:tc>
        <w:tcPr>
          <w:tcW w:w="2638" w:type="dxa"/>
        </w:tcPr>
        <w:p w:rsidR="00866D00" w:rsidRPr="00423135" w:rsidRDefault="00866D00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866D00" w:rsidRDefault="00866D00" w:rsidP="00866D00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6401F0" w:rsidRPr="006401F0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6401F0" w:rsidRPr="006401F0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31818"/>
    <w:rsid w:val="00046B48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E19B8"/>
    <w:rsid w:val="000E31CC"/>
    <w:rsid w:val="000F04C8"/>
    <w:rsid w:val="00116B07"/>
    <w:rsid w:val="00132335"/>
    <w:rsid w:val="00132ADC"/>
    <w:rsid w:val="0015330A"/>
    <w:rsid w:val="00177031"/>
    <w:rsid w:val="001961F1"/>
    <w:rsid w:val="001A15F7"/>
    <w:rsid w:val="001B5CD0"/>
    <w:rsid w:val="001B6A1C"/>
    <w:rsid w:val="001C590A"/>
    <w:rsid w:val="001D1B83"/>
    <w:rsid w:val="001D29A8"/>
    <w:rsid w:val="001E7877"/>
    <w:rsid w:val="00206908"/>
    <w:rsid w:val="002100F7"/>
    <w:rsid w:val="00231149"/>
    <w:rsid w:val="0025498B"/>
    <w:rsid w:val="0026091C"/>
    <w:rsid w:val="002757D2"/>
    <w:rsid w:val="00280483"/>
    <w:rsid w:val="00282144"/>
    <w:rsid w:val="002A0261"/>
    <w:rsid w:val="002B2E11"/>
    <w:rsid w:val="002B4A46"/>
    <w:rsid w:val="002C080C"/>
    <w:rsid w:val="002C3F01"/>
    <w:rsid w:val="002D4C90"/>
    <w:rsid w:val="002E323D"/>
    <w:rsid w:val="002F5DC5"/>
    <w:rsid w:val="00302255"/>
    <w:rsid w:val="00307EDF"/>
    <w:rsid w:val="003134A8"/>
    <w:rsid w:val="003402EE"/>
    <w:rsid w:val="003434A2"/>
    <w:rsid w:val="00372A66"/>
    <w:rsid w:val="00372F80"/>
    <w:rsid w:val="00384107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9323B"/>
    <w:rsid w:val="00494DC0"/>
    <w:rsid w:val="004970D2"/>
    <w:rsid w:val="004A07D9"/>
    <w:rsid w:val="004A35F6"/>
    <w:rsid w:val="004C0551"/>
    <w:rsid w:val="004D1D0A"/>
    <w:rsid w:val="00514A49"/>
    <w:rsid w:val="00516DCA"/>
    <w:rsid w:val="00523EF9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548F"/>
    <w:rsid w:val="006B5AFE"/>
    <w:rsid w:val="006C07C2"/>
    <w:rsid w:val="006D66E0"/>
    <w:rsid w:val="006E397D"/>
    <w:rsid w:val="006E7E90"/>
    <w:rsid w:val="0071400E"/>
    <w:rsid w:val="007243C2"/>
    <w:rsid w:val="00726EFA"/>
    <w:rsid w:val="00732830"/>
    <w:rsid w:val="00750F32"/>
    <w:rsid w:val="00773CC2"/>
    <w:rsid w:val="00794AD0"/>
    <w:rsid w:val="0079518E"/>
    <w:rsid w:val="007B5B77"/>
    <w:rsid w:val="007B7005"/>
    <w:rsid w:val="007C44DE"/>
    <w:rsid w:val="007C62EA"/>
    <w:rsid w:val="007F62F2"/>
    <w:rsid w:val="008048D0"/>
    <w:rsid w:val="00813387"/>
    <w:rsid w:val="00827AD7"/>
    <w:rsid w:val="008310EF"/>
    <w:rsid w:val="00841AC1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3AE6"/>
    <w:rsid w:val="0093414F"/>
    <w:rsid w:val="00941B01"/>
    <w:rsid w:val="00980579"/>
    <w:rsid w:val="0098094B"/>
    <w:rsid w:val="00991518"/>
    <w:rsid w:val="00994CA8"/>
    <w:rsid w:val="009956BE"/>
    <w:rsid w:val="009A1B35"/>
    <w:rsid w:val="009A630F"/>
    <w:rsid w:val="009B0107"/>
    <w:rsid w:val="009B1297"/>
    <w:rsid w:val="009C66F1"/>
    <w:rsid w:val="009D72FB"/>
    <w:rsid w:val="009F13A1"/>
    <w:rsid w:val="009F63E9"/>
    <w:rsid w:val="00A0186A"/>
    <w:rsid w:val="00A059CF"/>
    <w:rsid w:val="00A3377F"/>
    <w:rsid w:val="00A41AA1"/>
    <w:rsid w:val="00A476B8"/>
    <w:rsid w:val="00A75F0B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72FF4"/>
    <w:rsid w:val="00B7349E"/>
    <w:rsid w:val="00BA2D77"/>
    <w:rsid w:val="00BC09F3"/>
    <w:rsid w:val="00BF7BFC"/>
    <w:rsid w:val="00C00278"/>
    <w:rsid w:val="00C109ED"/>
    <w:rsid w:val="00C21076"/>
    <w:rsid w:val="00C244F0"/>
    <w:rsid w:val="00C43B15"/>
    <w:rsid w:val="00C45A50"/>
    <w:rsid w:val="00C463C2"/>
    <w:rsid w:val="00C47FA5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3568"/>
    <w:rsid w:val="00CF4667"/>
    <w:rsid w:val="00D054B1"/>
    <w:rsid w:val="00D06AEC"/>
    <w:rsid w:val="00D073E7"/>
    <w:rsid w:val="00D21AB5"/>
    <w:rsid w:val="00D2519B"/>
    <w:rsid w:val="00D41ACA"/>
    <w:rsid w:val="00D51AB7"/>
    <w:rsid w:val="00D645EE"/>
    <w:rsid w:val="00D65DD1"/>
    <w:rsid w:val="00D67377"/>
    <w:rsid w:val="00D81D75"/>
    <w:rsid w:val="00D87DE2"/>
    <w:rsid w:val="00D902E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32BC4"/>
    <w:rsid w:val="00E43952"/>
    <w:rsid w:val="00E5215C"/>
    <w:rsid w:val="00E66C2A"/>
    <w:rsid w:val="00E674B9"/>
    <w:rsid w:val="00E951A3"/>
    <w:rsid w:val="00EA1939"/>
    <w:rsid w:val="00EA58D4"/>
    <w:rsid w:val="00EA7E17"/>
    <w:rsid w:val="00EC05F7"/>
    <w:rsid w:val="00ED060B"/>
    <w:rsid w:val="00EE2E1B"/>
    <w:rsid w:val="00EF7A27"/>
    <w:rsid w:val="00F02A8F"/>
    <w:rsid w:val="00F570B1"/>
    <w:rsid w:val="00F96571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D3A6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8668D-0937-483A-8EBF-D8291CE6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8668</TotalTime>
  <Pages>9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195</cp:revision>
  <cp:lastPrinted>2022-05-25T20:51:00Z</cp:lastPrinted>
  <dcterms:created xsi:type="dcterms:W3CDTF">2022-05-04T21:58:00Z</dcterms:created>
  <dcterms:modified xsi:type="dcterms:W3CDTF">2022-10-24T15:05:00Z</dcterms:modified>
</cp:coreProperties>
</file>