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>Plataforma de Distribución de Participaciones Municipales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670981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MAYO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2022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8769ED">
        <w:rPr>
          <w:rFonts w:ascii="Arial" w:hAnsi="Arial" w:cs="Arial"/>
          <w:sz w:val="20"/>
          <w:szCs w:val="20"/>
        </w:rPr>
        <w:t>30 de junio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8769ED"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sz w:val="20"/>
          <w:szCs w:val="20"/>
        </w:rPr>
        <w:t xml:space="preserve"> de </w:t>
      </w:r>
      <w:r w:rsidR="008769ED">
        <w:rPr>
          <w:rFonts w:ascii="Arial" w:hAnsi="Arial" w:cs="Arial"/>
          <w:sz w:val="20"/>
          <w:szCs w:val="20"/>
        </w:rPr>
        <w:t>junio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2E323D" w:rsidRDefault="002E323D" w:rsidP="00423135">
      <w:pPr>
        <w:pStyle w:val="Sinespaciado"/>
        <w:ind w:right="49"/>
      </w:pPr>
    </w:p>
    <w:p w:rsidR="001C590A" w:rsidRPr="004372C3" w:rsidRDefault="00012B14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Plataforma de Distribución de Participaciones Municipales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proofErr w:type="spellStart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</w:t>
      </w:r>
      <w:proofErr w:type="spellEnd"/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proofErr w:type="spellStart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</w:t>
      </w:r>
      <w:proofErr w:type="spellEnd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>
        <w:rPr>
          <w:rFonts w:ascii="Arial" w:hAnsi="Arial" w:cs="Arial"/>
          <w:sz w:val="24"/>
          <w:szCs w:val="24"/>
        </w:rPr>
        <w:t xml:space="preserve"> (DCPH)</w:t>
      </w:r>
      <w:r w:rsidRPr="00552CC6">
        <w:rPr>
          <w:rFonts w:ascii="Arial" w:hAnsi="Arial" w:cs="Arial"/>
          <w:sz w:val="24"/>
          <w:szCs w:val="24"/>
        </w:rPr>
        <w:t>, Dirección de Presupuesto y Control Presupuestal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Dirección de Coordinación Hacendaria, Dirección de Presupuesto y Control Presupuestal, Dirección de Atención a Municipios,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bookmarkStart w:id="4" w:name="_GoBack"/>
      <w:bookmarkEnd w:id="4"/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Default="0093414F" w:rsidP="0093414F">
      <w:pPr>
        <w:pStyle w:val="Prrafodelista"/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4A35F6" w:rsidRDefault="004A35F6" w:rsidP="00C77EDC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Análisis del levantamiento de procesos.</w:t>
      </w:r>
    </w:p>
    <w:p w:rsidR="00C77EDC" w:rsidRPr="00654ED0" w:rsidRDefault="00670981" w:rsidP="00654ED0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 w:rsidRPr="00E45105">
        <w:rPr>
          <w:rFonts w:ascii="Arial" w:eastAsia="Calibri" w:hAnsi="Arial" w:cs="Arial"/>
          <w:bCs/>
          <w:iCs/>
          <w:sz w:val="24"/>
          <w:lang w:val="es-MX"/>
        </w:rPr>
        <w:t>Se h</w:t>
      </w:r>
      <w:r w:rsidR="00C77EDC">
        <w:rPr>
          <w:rFonts w:ascii="Arial" w:eastAsia="Calibri" w:hAnsi="Arial" w:cs="Arial"/>
          <w:bCs/>
          <w:iCs/>
          <w:sz w:val="24"/>
          <w:lang w:val="es-MX"/>
        </w:rPr>
        <w:t>a trabajado en la creación de tablas</w:t>
      </w:r>
      <w:r w:rsidR="00D41ACA">
        <w:rPr>
          <w:rFonts w:ascii="Arial" w:eastAsia="Calibri" w:hAnsi="Arial" w:cs="Arial"/>
          <w:bCs/>
          <w:iCs/>
          <w:sz w:val="24"/>
          <w:lang w:val="es-MX"/>
        </w:rPr>
        <w:t xml:space="preserve"> y procedimientos</w:t>
      </w:r>
      <w:r w:rsidR="00654ED0">
        <w:rPr>
          <w:rFonts w:ascii="Arial" w:eastAsia="Calibri" w:hAnsi="Arial" w:cs="Arial"/>
          <w:bCs/>
          <w:iCs/>
          <w:sz w:val="24"/>
          <w:lang w:val="es-MX"/>
        </w:rPr>
        <w:t xml:space="preserve"> para el cálculo de coeficientes y fondos en </w:t>
      </w:r>
      <w:r w:rsidR="00C77EDC">
        <w:rPr>
          <w:rFonts w:ascii="Arial" w:eastAsia="Calibri" w:hAnsi="Arial" w:cs="Arial"/>
          <w:bCs/>
          <w:iCs/>
          <w:sz w:val="24"/>
          <w:lang w:val="es-MX"/>
        </w:rPr>
        <w:t>la B</w:t>
      </w:r>
      <w:r w:rsidR="00D41ACA">
        <w:rPr>
          <w:rFonts w:ascii="Arial" w:eastAsia="Calibri" w:hAnsi="Arial" w:cs="Arial"/>
          <w:bCs/>
          <w:iCs/>
          <w:sz w:val="24"/>
          <w:lang w:val="es-MX"/>
        </w:rPr>
        <w:t xml:space="preserve">ase de </w:t>
      </w:r>
      <w:r w:rsidR="00C77EDC">
        <w:rPr>
          <w:rFonts w:ascii="Arial" w:eastAsia="Calibri" w:hAnsi="Arial" w:cs="Arial"/>
          <w:bCs/>
          <w:iCs/>
          <w:sz w:val="24"/>
          <w:lang w:val="es-MX"/>
        </w:rPr>
        <w:t>D</w:t>
      </w:r>
      <w:r w:rsidR="00D41ACA">
        <w:rPr>
          <w:rFonts w:ascii="Arial" w:eastAsia="Calibri" w:hAnsi="Arial" w:cs="Arial"/>
          <w:bCs/>
          <w:iCs/>
          <w:sz w:val="24"/>
          <w:lang w:val="es-MX"/>
        </w:rPr>
        <w:t>atos</w:t>
      </w:r>
      <w:r w:rsidR="00654ED0">
        <w:rPr>
          <w:rFonts w:ascii="Arial" w:eastAsia="Calibri" w:hAnsi="Arial" w:cs="Arial"/>
          <w:bCs/>
          <w:iCs/>
          <w:sz w:val="24"/>
          <w:lang w:val="es-MX"/>
        </w:rPr>
        <w:t>, dichas tablas fueron</w:t>
      </w:r>
      <w:r w:rsidR="00C77EDC">
        <w:rPr>
          <w:rFonts w:ascii="Arial" w:eastAsia="Calibri" w:hAnsi="Arial" w:cs="Arial"/>
          <w:bCs/>
          <w:iCs/>
          <w:sz w:val="24"/>
          <w:lang w:val="es-MX"/>
        </w:rPr>
        <w:t xml:space="preserve"> detectadas </w:t>
      </w:r>
      <w:r w:rsidR="004A35F6">
        <w:rPr>
          <w:rFonts w:ascii="Arial" w:eastAsia="Calibri" w:hAnsi="Arial" w:cs="Arial"/>
          <w:bCs/>
          <w:iCs/>
          <w:sz w:val="24"/>
          <w:lang w:val="es-MX"/>
        </w:rPr>
        <w:t xml:space="preserve">en el análisis previo, </w:t>
      </w:r>
      <w:r w:rsidR="00C77EDC">
        <w:rPr>
          <w:rFonts w:ascii="Arial" w:eastAsia="Calibri" w:hAnsi="Arial" w:cs="Arial"/>
          <w:bCs/>
          <w:iCs/>
          <w:sz w:val="24"/>
          <w:lang w:val="es-MX"/>
        </w:rPr>
        <w:t xml:space="preserve">para llevar a cabo el flujo de los procesos expuestos en el levantamiento de procesos de las áreas vistas al día de hoy: </w:t>
      </w:r>
      <w:r w:rsidR="00C77EDC" w:rsidRPr="00552CC6">
        <w:rPr>
          <w:rFonts w:ascii="Arial" w:hAnsi="Arial" w:cs="Arial"/>
          <w:sz w:val="24"/>
          <w:szCs w:val="24"/>
        </w:rPr>
        <w:t xml:space="preserve">Dirección de Coordinación </w:t>
      </w:r>
      <w:r w:rsidR="00C77EDC">
        <w:rPr>
          <w:rFonts w:ascii="Arial" w:hAnsi="Arial" w:cs="Arial"/>
          <w:sz w:val="24"/>
          <w:szCs w:val="24"/>
        </w:rPr>
        <w:t xml:space="preserve">de Planeación </w:t>
      </w:r>
      <w:r w:rsidR="00C77EDC" w:rsidRPr="00552CC6">
        <w:rPr>
          <w:rFonts w:ascii="Arial" w:hAnsi="Arial" w:cs="Arial"/>
          <w:sz w:val="24"/>
          <w:szCs w:val="24"/>
        </w:rPr>
        <w:t>Hacendaria</w:t>
      </w:r>
      <w:r w:rsidR="00C77EDC">
        <w:rPr>
          <w:rFonts w:ascii="Arial" w:hAnsi="Arial" w:cs="Arial"/>
          <w:sz w:val="24"/>
          <w:szCs w:val="24"/>
        </w:rPr>
        <w:t xml:space="preserve"> (DCPH)</w:t>
      </w:r>
      <w:r w:rsidR="00C77EDC" w:rsidRPr="00552CC6">
        <w:rPr>
          <w:rFonts w:ascii="Arial" w:hAnsi="Arial" w:cs="Arial"/>
          <w:sz w:val="24"/>
          <w:szCs w:val="24"/>
        </w:rPr>
        <w:t>,</w:t>
      </w:r>
      <w:r w:rsidR="009203B3">
        <w:rPr>
          <w:rFonts w:ascii="Arial" w:hAnsi="Arial" w:cs="Arial"/>
          <w:sz w:val="24"/>
          <w:szCs w:val="24"/>
        </w:rPr>
        <w:t xml:space="preserve"> </w:t>
      </w:r>
      <w:r w:rsidR="00C77EDC" w:rsidRPr="00552CC6">
        <w:rPr>
          <w:rFonts w:ascii="Arial" w:hAnsi="Arial" w:cs="Arial"/>
          <w:sz w:val="24"/>
          <w:szCs w:val="24"/>
        </w:rPr>
        <w:t>Dirección de Atención a Municipios</w:t>
      </w:r>
      <w:r w:rsidR="00C77EDC">
        <w:rPr>
          <w:rFonts w:ascii="Arial" w:hAnsi="Arial" w:cs="Arial"/>
          <w:sz w:val="24"/>
          <w:szCs w:val="24"/>
        </w:rPr>
        <w:t xml:space="preserve"> y Organismos Paraestatales (DAMOP)</w:t>
      </w:r>
      <w:r w:rsidR="004A35F6">
        <w:rPr>
          <w:rFonts w:ascii="Arial" w:hAnsi="Arial" w:cs="Arial"/>
          <w:sz w:val="24"/>
          <w:szCs w:val="24"/>
        </w:rPr>
        <w:t>.</w:t>
      </w:r>
      <w:r w:rsidR="00096482">
        <w:rPr>
          <w:rFonts w:ascii="Arial" w:hAnsi="Arial" w:cs="Arial"/>
          <w:sz w:val="24"/>
          <w:szCs w:val="24"/>
        </w:rPr>
        <w:t xml:space="preserve"> [Diccionario de datos Anexo].</w:t>
      </w:r>
    </w:p>
    <w:p w:rsidR="00670981" w:rsidRDefault="00C77EDC" w:rsidP="00670981">
      <w:pPr>
        <w:spacing w:line="360" w:lineRule="auto"/>
        <w:jc w:val="center"/>
        <w:rPr>
          <w:lang w:val="es-MX" w:eastAsia="ar-SA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50679218" wp14:editId="305C870D">
            <wp:extent cx="5372100" cy="527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- sfgn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147" cy="52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81" w:rsidRDefault="0067098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  <w:r w:rsidRPr="00541683">
        <w:rPr>
          <w:i/>
          <w:lang w:val="es-MX" w:eastAsia="ar-SA"/>
        </w:rPr>
        <w:t>F</w:t>
      </w:r>
      <w:r>
        <w:rPr>
          <w:i/>
          <w:lang w:val="es-MX" w:eastAsia="ar-SA"/>
        </w:rPr>
        <w:t xml:space="preserve">ig. </w:t>
      </w:r>
      <w:r w:rsidR="00726EFA">
        <w:rPr>
          <w:rFonts w:eastAsia="Times New Roman" w:cs="Arial"/>
          <w:i/>
          <w:sz w:val="20"/>
          <w:szCs w:val="20"/>
          <w:lang w:eastAsia="es-VE"/>
        </w:rPr>
        <w:t>Diagrama E-R</w:t>
      </w:r>
      <w:r w:rsidR="00C77EDC">
        <w:rPr>
          <w:rFonts w:eastAsia="Times New Roman" w:cs="Arial"/>
          <w:i/>
          <w:sz w:val="20"/>
          <w:szCs w:val="20"/>
          <w:lang w:eastAsia="es-VE"/>
        </w:rPr>
        <w:t xml:space="preserve"> actual</w:t>
      </w: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7737"/>
        <w:gridCol w:w="1417"/>
      </w:tblGrid>
      <w:tr w:rsidR="002E323D" w:rsidRPr="008B32D9" w:rsidTr="0038410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77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ES"/>
              </w:rPr>
              <w:t>Responsable</w:t>
            </w:r>
          </w:p>
        </w:tc>
      </w:tr>
      <w:tr w:rsidR="002B4A46" w:rsidRPr="008B32D9" w:rsidTr="00384107">
        <w:trPr>
          <w:trHeight w:val="64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2B4A46" w:rsidRPr="003A24DD" w:rsidRDefault="002B4A46" w:rsidP="00AA6F67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1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:rsidR="002B4A46" w:rsidRPr="00D054B1" w:rsidRDefault="00AA6F67" w:rsidP="00AA6F67">
            <w:pPr>
              <w:spacing w:after="0" w:line="240" w:lineRule="auto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Creación de tablas BD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:rsidR="002B4A46" w:rsidRPr="00423135" w:rsidRDefault="002B4A46" w:rsidP="002B4A46">
            <w:pPr>
              <w:pStyle w:val="Encabez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2B4A46" w:rsidRPr="008B32D9" w:rsidTr="00384107">
        <w:trPr>
          <w:trHeight w:val="6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46" w:rsidRPr="003A24DD" w:rsidRDefault="002B4A46" w:rsidP="002B4A4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2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6F67" w:rsidRPr="00D054B1" w:rsidRDefault="00AA6F67" w:rsidP="008A5535">
            <w:pP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Generación de Procedimientos de BD para el cálculo de fondos:  ICV, FORTAMUN y FISM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A46" w:rsidRPr="00423135" w:rsidRDefault="002B4A46" w:rsidP="002B4A46">
            <w:pPr>
              <w:pStyle w:val="Encabez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2B4A46" w:rsidRPr="008B32D9" w:rsidTr="00384107">
        <w:trPr>
          <w:trHeight w:val="60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</w:tcPr>
          <w:p w:rsidR="002B4A46" w:rsidRPr="003A24DD" w:rsidRDefault="002B4A46" w:rsidP="002B4A4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3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</w:tcPr>
          <w:p w:rsidR="002B4A46" w:rsidRDefault="00AA6F67" w:rsidP="00FD0B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Generación de Procedimientos de BD para el cálculo de Coeficientes: </w:t>
            </w:r>
            <w:r w:rsidR="00FD0B7F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CO</w:t>
            </w:r>
            <w:r w:rsidR="00FD0B7F" w:rsidRPr="00FD0B7F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EFICIENTE POBLACION Y TERRITORIO, COEFICIENTE DE EFECTIVIDAD DE RECAUDACION PREDIAL GENERAL, COEFICIENTE POBLACION MUNICIPIOS AREA METROPOLITANA, COEFICIENTE POBLACION MUNICIPIOS AREA NO METROPOLITANA, COEFICIENTE PROYECCION DE LA POBLACION, COEFICIENTE INDICE MUNICIPAL DE POBREZA GENERAL</w:t>
            </w:r>
            <w:r w:rsidR="00FD0B7F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.</w:t>
            </w:r>
          </w:p>
          <w:p w:rsidR="00FD0B7F" w:rsidRPr="00FD0B7F" w:rsidRDefault="00FD0B7F" w:rsidP="00FD0B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Para verificar la salida de los c</w:t>
            </w:r>
            <w:r w:rsidR="002D4C90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álculos y compararla con los reportes proporcionados por el área DCPH del mes anterior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</w:tcPr>
          <w:p w:rsidR="002B4A46" w:rsidRPr="00423135" w:rsidRDefault="002B4A46" w:rsidP="002B4A46">
            <w:pPr>
              <w:pStyle w:val="Encabez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2B4A46" w:rsidRPr="008B32D9" w:rsidTr="00384107">
        <w:trPr>
          <w:trHeight w:val="60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A46" w:rsidRPr="003A24DD" w:rsidRDefault="002B4A46" w:rsidP="002B4A4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4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4A46" w:rsidRPr="003A24DD" w:rsidRDefault="00FD0B7F" w:rsidP="00FD0B7F">
            <w:pPr>
              <w:spacing w:after="0" w:line="240" w:lineRule="auto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Inserción de datos en las tablas de los catálogos de Municipios, INEGI, CONEVAL, valor de UMA, Inflación de bancos para el cálculo de los fondos previamente enlistados</w:t>
            </w:r>
            <w:r w:rsidR="009B129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, tasas de interés por mes del año 2022, perfiles de usuario de prueba por área, menú por área</w:t>
            </w:r>
            <w:r w:rsidR="00666296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, roles, periodos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4A46" w:rsidRPr="00423135" w:rsidRDefault="002B4A46" w:rsidP="002B4A46">
            <w:pPr>
              <w:pStyle w:val="Encabez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8A5535" w:rsidRPr="008B32D9" w:rsidTr="00384107">
        <w:trPr>
          <w:trHeight w:val="60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8A5535" w:rsidRPr="003A24DD" w:rsidRDefault="008A5535" w:rsidP="002B4A4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5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8A5535" w:rsidRDefault="00FD0B7F" w:rsidP="002B4A46">
            <w:pPr>
              <w:spacing w:after="0" w:line="240" w:lineRule="auto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Generación de respaldos (copias de seguridad) de información de la BD, y código generado en repositorio GIT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8A5535" w:rsidRDefault="008A5535" w:rsidP="002B4A46">
            <w:pPr>
              <w:pStyle w:val="Encabez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8A5535" w:rsidRPr="008B32D9" w:rsidTr="00384107">
        <w:trPr>
          <w:trHeight w:val="60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5535" w:rsidRDefault="008A5535" w:rsidP="002B4A4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6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0042" w:rsidRDefault="00FD0B7F" w:rsidP="008A5535">
            <w:pPr>
              <w:spacing w:after="0" w:line="240" w:lineRule="auto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Generación de maquetación de pantallas </w:t>
            </w:r>
            <w:r w:rsidR="00056CC3" w:rsidRPr="00056CC3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de la plataforma para los módulos de: </w:t>
            </w:r>
          </w:p>
          <w:p w:rsidR="009B1297" w:rsidRDefault="009B1297" w:rsidP="008A5535">
            <w:pPr>
              <w:spacing w:after="0" w:line="240" w:lineRule="auto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Administración: </w:t>
            </w:r>
            <w:proofErr w:type="spellStart"/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Dashboard</w:t>
            </w:r>
            <w:proofErr w:type="spellEnd"/>
            <w:r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 de Menús por área</w:t>
            </w:r>
          </w:p>
          <w:p w:rsidR="00DC0042" w:rsidRDefault="00056CC3" w:rsidP="008A5535">
            <w:pPr>
              <w:spacing w:after="0" w:line="240" w:lineRule="auto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 w:rsidRPr="00056CC3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DCPH</w:t>
            </w:r>
            <w:r w:rsidR="00DC0042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: </w:t>
            </w:r>
            <w:r w:rsidR="009B129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Perfil</w:t>
            </w:r>
            <w:r w:rsidR="009D72FB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 usuario </w:t>
            </w:r>
            <w:proofErr w:type="spellStart"/>
            <w:r w:rsidR="009D72FB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admin</w:t>
            </w:r>
            <w:proofErr w:type="spellEnd"/>
            <w:r w:rsidR="009B129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, </w:t>
            </w:r>
            <w:proofErr w:type="spellStart"/>
            <w:r w:rsidR="009B129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Dashboard</w:t>
            </w:r>
            <w:proofErr w:type="spellEnd"/>
            <w:r w:rsidR="009B129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 del Cálculo de Coeficientes, </w:t>
            </w:r>
            <w:proofErr w:type="spellStart"/>
            <w:r w:rsidR="009B129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Dashboard</w:t>
            </w:r>
            <w:proofErr w:type="spellEnd"/>
            <w:r w:rsidR="009B129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 Cálculo de Fondos, FORTAMUN, ICV, FISM</w:t>
            </w:r>
          </w:p>
          <w:p w:rsidR="00056CC3" w:rsidRPr="008A5535" w:rsidRDefault="00056CC3" w:rsidP="009D72FB">
            <w:pPr>
              <w:spacing w:after="0" w:line="240" w:lineRule="auto"/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</w:pPr>
            <w:r w:rsidRPr="00056CC3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DAMOP</w:t>
            </w:r>
            <w:r w:rsidR="00DC0042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: </w:t>
            </w:r>
            <w:r w:rsidR="009D72FB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Perfil de usuario </w:t>
            </w:r>
            <w:proofErr w:type="spellStart"/>
            <w:r w:rsidR="009D72FB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admin</w:t>
            </w:r>
            <w:proofErr w:type="spellEnd"/>
            <w:r w:rsidR="009D72FB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, t</w:t>
            </w:r>
            <w:r w:rsidR="009B129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asa de interés</w:t>
            </w:r>
            <w:r w:rsidR="00F02A8F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 BANXICO, </w:t>
            </w:r>
            <w:proofErr w:type="spellStart"/>
            <w:r w:rsidR="00F02A8F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Dashboard</w:t>
            </w:r>
            <w:proofErr w:type="spellEnd"/>
            <w:r w:rsidR="00F02A8F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 xml:space="preserve"> conceptos de Préstamos a Municipios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535" w:rsidRDefault="00FC17E2" w:rsidP="002B4A46">
            <w:pPr>
              <w:pStyle w:val="Encabez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  <w:p w:rsidR="00FC17E2" w:rsidRDefault="00FC17E2" w:rsidP="002B4A46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</w:tbl>
    <w:p w:rsidR="00384107" w:rsidRPr="00384107" w:rsidRDefault="00384107" w:rsidP="00C929FC">
      <w:pPr>
        <w:pStyle w:val="Ttulo1"/>
        <w:rPr>
          <w:rFonts w:ascii="Arial" w:hAnsi="Arial" w:cs="Arial"/>
          <w:b/>
          <w:color w:val="000000" w:themeColor="text1"/>
          <w:sz w:val="24"/>
          <w:lang w:val="es-CO"/>
        </w:rPr>
      </w:pPr>
    </w:p>
    <w:p w:rsidR="00084CAC" w:rsidRPr="00C929FC" w:rsidRDefault="00084CAC" w:rsidP="00C929FC">
      <w:pPr>
        <w:pStyle w:val="Ttulo1"/>
        <w:rPr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AB7" w:rsidRDefault="00D51AB7" w:rsidP="00423135">
      <w:pPr>
        <w:spacing w:after="0" w:line="240" w:lineRule="auto"/>
      </w:pPr>
      <w:r>
        <w:separator/>
      </w:r>
    </w:p>
  </w:endnote>
  <w:endnote w:type="continuationSeparator" w:id="0">
    <w:p w:rsidR="00D51AB7" w:rsidRDefault="00D51AB7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AB7" w:rsidRDefault="00D51AB7" w:rsidP="00423135">
      <w:pPr>
        <w:spacing w:after="0" w:line="240" w:lineRule="auto"/>
      </w:pPr>
      <w:r>
        <w:separator/>
      </w:r>
    </w:p>
  </w:footnote>
  <w:footnote w:type="continuationSeparator" w:id="0">
    <w:p w:rsidR="00D51AB7" w:rsidRDefault="00D51AB7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:rsidTr="00D65DD1">
      <w:tc>
        <w:tcPr>
          <w:tcW w:w="2706" w:type="dxa"/>
          <w:vMerge w:val="restart"/>
        </w:tcPr>
        <w:p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>Sistema Integral de Gestión Administrativa (SIGA)</w:t>
          </w:r>
        </w:p>
      </w:tc>
      <w:tc>
        <w:tcPr>
          <w:tcW w:w="3156" w:type="dxa"/>
          <w:vMerge w:val="restart"/>
        </w:tcPr>
        <w:p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:rsidTr="00D65DD1">
      <w:tc>
        <w:tcPr>
          <w:tcW w:w="2706" w:type="dxa"/>
          <w:vMerge/>
        </w:tcPr>
        <w:p w:rsidR="004372C3" w:rsidRDefault="004372C3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4372C3" w:rsidRPr="00423135" w:rsidRDefault="00AD3A95" w:rsidP="00423135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JUNIO </w:t>
          </w:r>
          <w:r w:rsidR="004372C3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4372C3" w:rsidRDefault="004372C3">
          <w:pPr>
            <w:pStyle w:val="Encabezado"/>
          </w:pPr>
        </w:p>
      </w:tc>
    </w:tr>
    <w:tr w:rsidR="00866D00" w:rsidTr="00D65DD1">
      <w:tc>
        <w:tcPr>
          <w:tcW w:w="2706" w:type="dxa"/>
          <w:vMerge/>
        </w:tcPr>
        <w:p w:rsidR="00866D00" w:rsidRDefault="00866D00" w:rsidP="00866D00">
          <w:pPr>
            <w:pStyle w:val="Encabezado"/>
          </w:pPr>
        </w:p>
      </w:tc>
      <w:tc>
        <w:tcPr>
          <w:tcW w:w="1707" w:type="dxa"/>
        </w:tcPr>
        <w:p w:rsidR="00866D00" w:rsidRPr="00423135" w:rsidRDefault="00866D00" w:rsidP="00866D00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 SIGA</w:t>
          </w:r>
        </w:p>
      </w:tc>
      <w:tc>
        <w:tcPr>
          <w:tcW w:w="2638" w:type="dxa"/>
        </w:tcPr>
        <w:p w:rsidR="00866D00" w:rsidRPr="00423135" w:rsidRDefault="00866D00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866D00" w:rsidRDefault="00866D00" w:rsidP="00866D00">
          <w:pPr>
            <w:pStyle w:val="Encabezado"/>
          </w:pPr>
        </w:p>
      </w:tc>
    </w:tr>
    <w:tr w:rsidR="004372C3" w:rsidTr="00D65DD1">
      <w:trPr>
        <w:trHeight w:val="683"/>
      </w:trPr>
      <w:tc>
        <w:tcPr>
          <w:tcW w:w="2706" w:type="dxa"/>
          <w:vMerge/>
        </w:tcPr>
        <w:p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5F5D72" w:rsidRPr="005F5D72">
            <w:rPr>
              <w:rFonts w:ascii="Arial" w:hAnsi="Arial" w:cs="Arial"/>
              <w:bCs/>
              <w:noProof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5F5D72" w:rsidRPr="005F5D72">
            <w:rPr>
              <w:rFonts w:ascii="Arial" w:eastAsia="MS Mincho" w:hAnsi="Arial" w:cs="Arial"/>
              <w:bCs/>
              <w:noProof/>
              <w:lang w:eastAsia="es-ES"/>
            </w:rPr>
            <w:t>7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4372C3" w:rsidRDefault="004372C3" w:rsidP="00D65DD1">
          <w:pPr>
            <w:pStyle w:val="Encabezado"/>
          </w:pPr>
        </w:p>
      </w:tc>
    </w:tr>
  </w:tbl>
  <w:p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2B14"/>
    <w:rsid w:val="00031818"/>
    <w:rsid w:val="00056CC3"/>
    <w:rsid w:val="00084CAC"/>
    <w:rsid w:val="0009151D"/>
    <w:rsid w:val="00096482"/>
    <w:rsid w:val="000E31CC"/>
    <w:rsid w:val="00132335"/>
    <w:rsid w:val="0015330A"/>
    <w:rsid w:val="001961F1"/>
    <w:rsid w:val="001C590A"/>
    <w:rsid w:val="001D1B83"/>
    <w:rsid w:val="002100F7"/>
    <w:rsid w:val="0026091C"/>
    <w:rsid w:val="002A0261"/>
    <w:rsid w:val="002B4A46"/>
    <w:rsid w:val="002C080C"/>
    <w:rsid w:val="002D4C90"/>
    <w:rsid w:val="002E323D"/>
    <w:rsid w:val="00384107"/>
    <w:rsid w:val="00395323"/>
    <w:rsid w:val="003A24DD"/>
    <w:rsid w:val="003A6468"/>
    <w:rsid w:val="003A7148"/>
    <w:rsid w:val="003D4D99"/>
    <w:rsid w:val="003D5BB4"/>
    <w:rsid w:val="00407304"/>
    <w:rsid w:val="00423135"/>
    <w:rsid w:val="00427E8F"/>
    <w:rsid w:val="004372C3"/>
    <w:rsid w:val="004A35F6"/>
    <w:rsid w:val="00523EF9"/>
    <w:rsid w:val="005F5D72"/>
    <w:rsid w:val="00604DE9"/>
    <w:rsid w:val="006316ED"/>
    <w:rsid w:val="00654ED0"/>
    <w:rsid w:val="00666296"/>
    <w:rsid w:val="00670981"/>
    <w:rsid w:val="006713C4"/>
    <w:rsid w:val="006740D2"/>
    <w:rsid w:val="006A548F"/>
    <w:rsid w:val="006B5AFE"/>
    <w:rsid w:val="006E7E90"/>
    <w:rsid w:val="007243C2"/>
    <w:rsid w:val="00726EFA"/>
    <w:rsid w:val="007B5B77"/>
    <w:rsid w:val="007F62F2"/>
    <w:rsid w:val="00866D00"/>
    <w:rsid w:val="008769ED"/>
    <w:rsid w:val="00887352"/>
    <w:rsid w:val="00887F96"/>
    <w:rsid w:val="00895D2B"/>
    <w:rsid w:val="008A47D2"/>
    <w:rsid w:val="008A5535"/>
    <w:rsid w:val="008B32D9"/>
    <w:rsid w:val="008B66C6"/>
    <w:rsid w:val="008C1408"/>
    <w:rsid w:val="009203B3"/>
    <w:rsid w:val="00921B9C"/>
    <w:rsid w:val="0093414F"/>
    <w:rsid w:val="00980579"/>
    <w:rsid w:val="0098094B"/>
    <w:rsid w:val="00994CA8"/>
    <w:rsid w:val="009B1297"/>
    <w:rsid w:val="009D72FB"/>
    <w:rsid w:val="00A0186A"/>
    <w:rsid w:val="00A41AA1"/>
    <w:rsid w:val="00AA22AC"/>
    <w:rsid w:val="00AA6F67"/>
    <w:rsid w:val="00AB753D"/>
    <w:rsid w:val="00AC6BE1"/>
    <w:rsid w:val="00AD3A95"/>
    <w:rsid w:val="00B07737"/>
    <w:rsid w:val="00C109ED"/>
    <w:rsid w:val="00C21076"/>
    <w:rsid w:val="00C77EDC"/>
    <w:rsid w:val="00C929FC"/>
    <w:rsid w:val="00C9516C"/>
    <w:rsid w:val="00C95470"/>
    <w:rsid w:val="00CC778C"/>
    <w:rsid w:val="00CE3568"/>
    <w:rsid w:val="00D054B1"/>
    <w:rsid w:val="00D06AEC"/>
    <w:rsid w:val="00D41ACA"/>
    <w:rsid w:val="00D51AB7"/>
    <w:rsid w:val="00D65DD1"/>
    <w:rsid w:val="00D87DE2"/>
    <w:rsid w:val="00D902E0"/>
    <w:rsid w:val="00DC0042"/>
    <w:rsid w:val="00DD35E6"/>
    <w:rsid w:val="00E32BC4"/>
    <w:rsid w:val="00E43952"/>
    <w:rsid w:val="00E951A3"/>
    <w:rsid w:val="00EF7A27"/>
    <w:rsid w:val="00F02A8F"/>
    <w:rsid w:val="00FB5B48"/>
    <w:rsid w:val="00FB5D90"/>
    <w:rsid w:val="00FC17E2"/>
    <w:rsid w:val="00FD0B7F"/>
    <w:rsid w:val="00FD238F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F3E63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cp:lastPrinted>2022-05-25T20:51:00Z</cp:lastPrinted>
  <dcterms:created xsi:type="dcterms:W3CDTF">2022-05-04T21:58:00Z</dcterms:created>
  <dcterms:modified xsi:type="dcterms:W3CDTF">2022-07-01T18:49:00Z</dcterms:modified>
</cp:coreProperties>
</file>