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6B6477"/>
          <w:sz w:val="19"/>
          <w:szCs w:val="19"/>
        </w:rPr>
        <w:t xml:space="preserve">AI-EXHIBITS · DOCUMENTATION DE L’EXPOSITION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523"/>
          <w:sz w:val="56"/>
          <w:szCs w:val="56"/>
        </w:rPr>
        <w:t xml:space="preserve">Sliding Puzzle</w:t>
      </w:r>
    </w:p>
    <w:p>
      <w:pPr>
        <w:pBdr>
          <w:bottom w:val="single" w:color="D6217F" w:sz="12" w:space="4"/>
        </w:pBdr>
        <w:spacing w:after="60"/>
      </w:pPr>
      <w:r>
        <w:rPr>
          <w:rFonts w:ascii="Calibri" w:cs="Calibri" w:eastAsia="Calibri" w:hAnsi="Calibri"/>
          <w:i/>
          <w:iCs/>
          <w:color w:val="6B6477"/>
          <w:sz w:val="26"/>
          <w:szCs w:val="26"/>
        </w:rPr>
        <w:t xml:space="preserve">Entraîner sa propre IA — apprentissage par renforcement sur des taquins de taille croissante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Exposition en ligne : </w:t>
      </w:r>
      <w:hyperlink w:history="1" r:id="rIde3dmxkaeovkyktou8tt8j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https://erikaroldanroa.github.io/ai-exhibits-rl-public/</w:t>
        </w:r>
      </w:hyperlink>
      <w:r>
        <w:rPr>
          <w:rFonts w:ascii="Calibri" w:cs="Calibri" w:eastAsia="Calibri" w:hAnsi="Calibri"/>
          <w:color w:val="1A1523"/>
          <w:sz w:val="24"/>
          <w:szCs w:val="24"/>
        </w:rPr>
        <w:t xml:space="preserve">   ·   EN · FR · DE · IT · exposition in situ et pop-up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Code source : </w:t>
      </w:r>
      <w:hyperlink w:history="1" r:id="rIdaoeyu_b9r87ijsrh4mcns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github.com/ErikaRoldanRoa/ai-exhibits-rl-public</w:t>
        </w:r>
      </w:hyperlink>
    </w:p>
    <w:p>
      <w:pPr>
        <w:spacing w:after="40" w:before="120"/>
        <w:jc w:val="center"/>
      </w:pPr>
      <w:r>
        <w:drawing>
          <wp:inline distT="0" distB="0" distL="0" distR="0">
            <wp:extent cx="6096000" cy="3829050"/>
            <wp:effectExtent t="0" r="0" b="0" l="0"/>
            <wp:docPr id="1" name="01_home_missions.png" descr="Le hub : trois missions, un seul algorithme Q-learning — l’échelle passe de 12 à 181 440 états." title="Le hub : trois missions, un seul algorithme Q-learning — l’échelle passe de 12 à 181 440 éta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477"/>
          <w:sz w:val="18"/>
          <w:szCs w:val="18"/>
        </w:rPr>
        <w:t xml:space="preserve">Le hub : trois missions, un seul algorithme Q-learning — l’échelle passe de 12 à 181 440 états.</w:t>
      </w:r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Description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L’exposition « Sliding Puzzle » permet aux visiteuses et visiteurs d’entraîner leur propre agente d’apprentissage par renforcement sur trois taquins de taille croissante : 2×2, 2×3 et 3×3. Elle fonctionne dans n’importe quel navigateur, en quatre langues, sans installation ni compte, et reste disponible hors ligne après la première visite : elle peut donc servir aussi bien de station d’exposition autonome que d’exposition pop-up en classe.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Chaque mission présente le taquin à côté d’une visualisation en direct de son espace d’états — chaque disposition des tuiles est un état, chaque mouvement autorisé une arête. On commence par résoudre le taquin à la main, puis on lance l’entraînement et l’on regarde une agente Q-learning apprendre : épisode après épisode, les valeurs Q remontent depuis l’objectif à travers le graphe, tandis qu’une barre de progression affiche la part d’états explorés. Trois curseurs exposent les mathématiques de l’algorithme — le taux d’apprentissage α, le facteur d’escompte γ et le taux d’exploration ε — et des boutons de référence font concourir l’agente entraînée sur des configurations mélangées. Des kits A4 imprimables (guide d’animation, fiche élève avec l’orbite des 12 états et la table Q de 24 lignes, fiche d’équipe) accompagnent l’exposition pour les ateliers.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2260"/>
        <w:gridCol w:w="2260"/>
        <w:gridCol w:w="2260"/>
      </w:tblGrid>
      <w:tr>
        <w:trPr>
          <w:cantSplit/>
        </w:trPr>
        <w:tc>
          <w:tcPr>
            <w:tcW w:type="dxa" w:w="2858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shd w:fill="FBEA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217F"/>
                <w:sz w:val="21"/>
                <w:szCs w:val="21"/>
              </w:rPr>
              <w:t xml:space="preserve"/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shd w:fill="FBEA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217F"/>
                <w:sz w:val="21"/>
                <w:szCs w:val="21"/>
              </w:rPr>
              <w:t xml:space="preserve">Mission I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shd w:fill="FBEA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217F"/>
                <w:sz w:val="21"/>
                <w:szCs w:val="21"/>
              </w:rPr>
              <w:t xml:space="preserve">Mission II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shd w:fill="FBEA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217F"/>
                <w:sz w:val="21"/>
                <w:szCs w:val="21"/>
              </w:rPr>
              <w:t xml:space="preserve">Mission III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23"/>
                <w:sz w:val="21"/>
                <w:szCs w:val="21"/>
              </w:rPr>
              <w:t xml:space="preserve">Taquin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2 × 2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2 × 3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3 × 3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23"/>
                <w:sz w:val="21"/>
                <w:szCs w:val="21"/>
              </w:rPr>
              <w:t xml:space="preserve">États accessibles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12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360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181 440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23"/>
                <w:sz w:val="21"/>
                <w:szCs w:val="21"/>
              </w:rPr>
              <w:t xml:space="preserve">Nombre de Dieu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6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21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2858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523"/>
                <w:sz w:val="21"/>
                <w:szCs w:val="21"/>
              </w:rPr>
              <w:t xml:space="preserve">Entraînement par défaut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~5 s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~1 min</w:t>
            </w:r>
          </w:p>
        </w:tc>
        <w:tc>
          <w:tcPr>
            <w:tcW w:type="dxa" w:w="2260"/>
            <w:tcBorders>
              <w:top w:val="single" w:color="E3D9E6" w:sz="1"/>
              <w:left w:val="single" w:color="E3D9E6" w:sz="1"/>
              <w:bottom w:val="single" w:color="E3D9E6" w:sz="1"/>
              <w:right w:val="single" w:color="E3D9E6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523"/>
                <w:sz w:val="21"/>
                <w:szCs w:val="21"/>
              </w:rPr>
              <w:t xml:space="preserve">10+ min, incomplet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Activité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Chaque mission suit le même arc : </w:t>
      </w:r>
      <w:r>
        <w:rPr>
          <w:rFonts w:ascii="Calibri" w:cs="Calibri" w:eastAsia="Calibri" w:hAnsi="Calibri"/>
          <w:i/>
          <w:iCs/>
          <w:color w:val="1A1523"/>
          <w:sz w:val="24"/>
          <w:szCs w:val="24"/>
        </w:rPr>
        <w:t xml:space="preserve">lire le monde → jouer à la main → entraîner l’agente → faire le bilan.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Mission I (2×2).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Les participantes et participants résolvent d’abord le taquin à la main à l’écran, puis entraînent l’agente pendant 300 épisodes et regardent les valeurs Q se propager à rebours dans le graphe des 12 états, jusqu’à la convergence de la table entière en quelques secondes. Avec la fiche imprimée, chacune et chacun peut remplir la table Q de 24 lignes et vérifier qu’un jeu optimal ne demande jamais plus de 6 mouvements.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829050"/>
            <wp:effectExtent t="0" r="0" b="0" l="0"/>
            <wp:docPr id="1" name="02_mission1_trained.png" descr="Mission I après entraînement : le graphe complet des 12 états, valeurs Q convergées — tout l’univers du taquin sur un écran." title="Mission I après entraînement : le graphe complet des 12 états, valeurs Q convergées — tout l’univers du taquin sur un écr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477"/>
          <w:sz w:val="18"/>
          <w:szCs w:val="18"/>
        </w:rPr>
        <w:t xml:space="preserve">Mission I après entraînement : le graphe complet des 12 états, valeurs Q convergées — tout l’univers du taquin sur un écran.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Mission II (2×3).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On réentraîne l’agente avec d’autres hyperparamètres : faire passer le facteur d’escompte γ de 0,5 à 0,99 montre comment la récompense pénètre plus profondément dans l’espace d’états ; faire passer le taux d’exploration ε de 0 à 0,5 montre comment la barre d’états explorés se remplit à des vitesses très différentes.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829050"/>
            <wp:effectExtent t="0" r="0" b="0" l="0"/>
            <wp:docPr id="1" name="03_mission2_training.png" descr="Mission II : les paramètres d’entraînement α, γ, ε entre les mains du public — 360 états, entièrement explorés." title="Mission II : les paramètres d’entraînement α, γ, ε entre les mains du public — 360 états, entièrement exploré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477"/>
          <w:sz w:val="18"/>
          <w:szCs w:val="18"/>
        </w:rPr>
        <w:t xml:space="preserve">Mission II : les paramètres d’entraînement α, γ, ε entre les mains du public — 360 états, entièrement explorés.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Mission III (3×3).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Le même algorithme rencontre 181 440 états accessibles. Même après 10 000 épisodes, la barre d’états explorés plafonne bien en dessous des 100 % — la table de correspondance a atteint son plafond. Une carte « économie » traduit l’écart en argent (une démonstration coûte une fraction de centime ; une table complète garantie, des centaines d’euros de calcul), rendant tangible le fléau de la dimension.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829050"/>
            <wp:effectExtent t="0" r="0" b="0" l="0"/>
            <wp:docPr id="1" name="04_mission3_curse.png" descr="Mission III : après 10 000 épisodes, la barre plafonne — le fléau de la dimension, chiffré en euros." title="Mission III : après 10 000 épisodes, la barre plafonne — le fléau de la dimension, chiffré en eu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B6477"/>
          <w:sz w:val="18"/>
          <w:szCs w:val="18"/>
        </w:rPr>
        <w:t xml:space="preserve">Mission III : après 10 000 épisodes, la barre plafonne — le fléau de la dimension, chiffré en euros.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L’activité peut se terminer de plusieurs manières : l’agente converge vers une politique optimale (missions I–II), on arrête l’entraînement avec une politique partiellement apprise, ou — fin voulue de la mission III — le groupe discute de la raison pour laquelle la table ne peut pas se remplir et de ce qui pourrait y remédier, ce qui ouvre la porte aux réseaux de neurones (DQN, AlphaZero).</w:t>
      </w:r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Pour aller plus loin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L’exposition se prolonge naturellement vers des taquins d’autres géométries et dimensions, à partir des articles de recherche qui la sous-tendent 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Manipulation : résoudre des taquins hexagonaux imprimés en 3D qui exigent des nombres différents de cases vides pour être solubles — une rencontre concrète avec les classes de parité comme invariant qui bloque des solutions [2].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Un jeu vidéo pour les taquins cubiques en 3D et 4D, où la case vide du taquin 2D devient une face libre et où l’intuition humaine commence à vaciller [3].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Comparer comment trois familles d’algorithmes résolvent le même taquin — la recherche A* (optimale mais coûteuse), les algorithmes évolutionnaires (robustes et extensibles, sans garantie d’optimalité) et l’apprentissage par renforcement (qui s’améliore par l’expérience) — grâce à des vidéos montrant les mouvements et le temps de calcul [1].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Une médiatrice ou un médiateur a besoin des taquins hexagonaux imprimés en 3D, d’un écran pour le jeu vidéo et les vidéos, et éventuellement des trois articles de recherche [1–3] présentés à la station.</w:t>
      </w:r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Informations contextuelles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L’apprentissage par renforcement est l’un des grands paradigmes de l’apprentissage automatique : une agente apprend de l’interaction plutôt que d’exemples étiquetés. Plongée dans un environnement, elle agit, observe l’état résultant et reçoit une récompense — ici +1 lorsqu’elle atteint la configuration objectif, 0 sinon. Le Q-learning mémorise, pour chaque paire (état, action), un nombre qui estime la récompense future cumulée ; chaque mouvement met à jour cette valeur Q à partir de la récompense reçue et de la meilleure valeur Q disponible dans l’état suivant. Le facteur d’escompte γ détermine jusqu’où la récompense se propage à rebours depuis l’objectif ; le taux d’exploration ε pousse l’agente à essayer de nouveaux mouvements au lieu d’exploiter seulement ce qu’elle sait déjà.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Les taquins portent eux-mêmes les mathématiques. Seule la moitié des n! permutations des tuiles est accessible : un invariant de parité scinde l’espace des configurations en deux, et l’objectif vit dans une seule moitié. Le Nombre de Dieu — la plus longue des solutions optimales — est égal au diamètre du graphe des états : 6 pour le 2×2, 21 pour le 2×3, 31 pour le 3×3, chacun vérifié par un parcours en largeur. La croissance factorielle de l’espace d’états (12 → 360 → 181 440) est précisément la raison pour laquelle le Q-learning tabulaire échoue à grande échelle, et pour laquelle l’apprentissage par renforcement moderne remplace la table par des réseaux de neurones — les mêmes principes (agente, récompense, politique, estimation de valeur) qui font fonctionner les agents de jeu, la robotique et les systèmes de recommandation.</w:t>
      </w:r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Informations didactiques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Dès 13 ans ; aucune connaissance préalable de l’apprentissage par renforcement n’est nécessaire — la mission I enseigne tout depuis le début. Dispositif recommandé : un navigateur par binôme ou petit groupe, plus le hub projeté sur un écran commun, pour que la salle regarde ensemble la barre d’états explorés grimper. La mission I seule prend environ 30 minutes ; les trois missions, environ 2 heures. Demander de prédire l’effet d’un curseur avant de relancer l’entraînement (par exemple « que se passe-t-il si ε = 0 ? ») déclenche systématiquement les meilleures discussions. Les kits imprimés permettent de calculer des valeurs Q à la main avant que la machine ne le fasse — l’outil ne doit jamais être plus malin que l’élève. L’exposition a été testée lors d’ateliers scolaires à la Maison Poincaré, Paris (janvier 2026, deux classes de Seconde) et lors d’un camp de mathématiques à l’Université de Genève (avril 2026).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color w:val="1A1523"/>
          <w:sz w:val="24"/>
          <w:szCs w:val="24"/>
        </w:rPr>
        <w:t xml:space="preserve">Matériel imprimable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(A4 — à ouvrir dans le navigateur et imprimer ; chaque lien s’ouvre directement en français) :</w:t>
      </w:r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ykhvpdqpraabkbsjzmjai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Kit Mission I · guide d’animation</w:t>
        </w:r>
      </w:hyperlink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c1bad9skk3qpyph6tywlf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Kit Mission II · guide d’animation</w:t>
        </w:r>
      </w:hyperlink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73rqn23kntcyitpj87oou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Kit Mission III · guide d’animation</w:t>
        </w:r>
      </w:hyperlink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o1ecafursrtza7t3emfnl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Fiche élève · Mission I (orbite des 12 états, table Q de 24 lignes)</w:t>
        </w:r>
      </w:hyperlink>
    </w:p>
    <w:p>
      <w:pPr>
        <w:pStyle w:val="ListParagraph"/>
        <w:numPr>
          <w:ilvl w:val="0"/>
          <w:numId w:val="2"/>
        </w:numPr>
        <w:spacing w:after="100" w:line="276"/>
      </w:pPr>
      <w:hyperlink w:history="1" r:id="rIdi9hj-bje3h2qkuzdqrbhi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Fiche d’équipe — les trois missions sur une page</w:t>
        </w:r>
      </w:hyperlink>
    </w:p>
    <w:p>
      <w:pPr>
        <w:pStyle w:val="Heading1"/>
        <w:pBdr>
          <w:bottom w:val="single" w:color="E3D9E6" w:sz="4" w:space="2"/>
        </w:pBdr>
        <w:spacing w:after="140" w:before="320"/>
      </w:pPr>
      <w:r>
        <w:rPr>
          <w:rFonts w:ascii="Calibri" w:cs="Calibri" w:eastAsia="Calibri" w:hAnsi="Calibri"/>
          <w:b/>
          <w:bCs/>
          <w:color w:val="D6217F"/>
          <w:sz w:val="28"/>
          <w:szCs w:val="28"/>
        </w:rPr>
        <w:t xml:space="preserve">Références</w:t>
      </w:r>
    </w:p>
    <w:p>
      <w:pPr>
        <w:spacing w:after="110" w:line="264"/>
        <w:ind w:left="360" w:hanging="360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[1]  Nono SC Merleau, Miguel O’Malley, Érika Roldán, and Sayan Mukherjee. </w:t>
      </w:r>
      <w:r>
        <w:rPr>
          <w:rFonts w:ascii="Calibri" w:cs="Calibri" w:eastAsia="Calibri" w:hAnsi="Calibri"/>
          <w:i/>
          <w:iCs/>
          <w:color w:val="1A1523"/>
          <w:sz w:val="24"/>
          <w:szCs w:val="24"/>
        </w:rPr>
        <w:t xml:space="preserve">Approximately Optimal Search on a Higher-dimensional Sliding Puzzle.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arXiv:2412.01937, 2024. </w:t>
      </w:r>
      <w:hyperlink w:history="1" r:id="rIdzwpxehsvxkhs3yxl2us2a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https://arxiv.org/abs/2412.01937</w:t>
        </w:r>
      </w:hyperlink>
    </w:p>
    <w:p>
      <w:pPr>
        <w:spacing w:after="110" w:line="264"/>
        <w:ind w:left="360" w:hanging="360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[2]  Ray Karpman and Érika Roldán. </w:t>
      </w:r>
      <w:r>
        <w:rPr>
          <w:rFonts w:ascii="Calibri" w:cs="Calibri" w:eastAsia="Calibri" w:hAnsi="Calibri"/>
          <w:i/>
          <w:iCs/>
          <w:color w:val="1A1523"/>
          <w:sz w:val="24"/>
          <w:szCs w:val="24"/>
        </w:rPr>
        <w:t xml:space="preserve">Parity Property of Hexagonal Sliding Puzzles.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arXiv:2201.00919, 2022. </w:t>
      </w:r>
      <w:hyperlink w:history="1" r:id="rIddnoo-keyufntnv8jhlucq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https://arxiv.org/abs/2201.00919</w:t>
        </w:r>
      </w:hyperlink>
    </w:p>
    <w:p>
      <w:pPr>
        <w:spacing w:after="110" w:line="264"/>
        <w:ind w:left="360" w:hanging="360"/>
      </w:pPr>
      <w:r>
        <w:rPr>
          <w:rFonts w:ascii="Calibri" w:cs="Calibri" w:eastAsia="Calibri" w:hAnsi="Calibri"/>
          <w:color w:val="1A1523"/>
          <w:sz w:val="24"/>
          <w:szCs w:val="24"/>
        </w:rPr>
        <w:t xml:space="preserve">[3]  Moritz Beyer, Stefano Mereta, Érika Roldán, and Peter Voran. </w:t>
      </w:r>
      <w:r>
        <w:rPr>
          <w:rFonts w:ascii="Calibri" w:cs="Calibri" w:eastAsia="Calibri" w:hAnsi="Calibri"/>
          <w:i/>
          <w:iCs/>
          <w:color w:val="1A1523"/>
          <w:sz w:val="24"/>
          <w:szCs w:val="24"/>
        </w:rPr>
        <w:t xml:space="preserve">Higher-dimensional Cubical Sliding Puzzles. </w:t>
      </w:r>
      <w:r>
        <w:rPr>
          <w:rFonts w:ascii="Calibri" w:cs="Calibri" w:eastAsia="Calibri" w:hAnsi="Calibri"/>
          <w:color w:val="1A1523"/>
          <w:sz w:val="24"/>
          <w:szCs w:val="24"/>
        </w:rPr>
        <w:t xml:space="preserve">arXiv:2307.14143, 2023. </w:t>
      </w:r>
      <w:hyperlink w:history="1" r:id="rIddfnfbhour_sc_uvqwx2ce">
        <w:r>
          <w:rPr>
            <w:rFonts w:ascii="Calibri" w:cs="Calibri" w:eastAsia="Calibri" w:hAnsi="Calibri"/>
            <w:color w:val="D6217F"/>
            <w:sz w:val="24"/>
            <w:szCs w:val="24"/>
            <w:u w:val="single"/>
          </w:rPr>
          <w:t xml:space="preserve">https://arxiv.org/abs/2307.14143</w:t>
        </w:r>
      </w:hyperlink>
    </w:p>
    <w:p>
      <w:pPr>
        <w:pBdr>
          <w:top w:val="single" w:color="E3D9E6" w:sz="4" w:space="4"/>
        </w:pBdr>
        <w:spacing w:after="100" w:before="240"/>
      </w:pPr>
      <w:r>
        <w:drawing>
          <wp:inline distT="0" distB="0" distL="0" distR="0">
            <wp:extent cx="571500" cy="381000"/>
            <wp:effectExtent t="0" r="0" b="0" l="0"/>
            <wp:docPr id="1" name="eu_emblem" descr="Cofinancé par l’Union européenne" title="Cofinancé par l’Union européen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/>
          <w:bCs/>
          <w:color w:val="1A1523"/>
          <w:sz w:val="21"/>
          <w:szCs w:val="21"/>
        </w:rPr>
        <w:t xml:space="preserve">   Cofinancé par l’Union européenne</w:t>
      </w:r>
    </w:p>
    <w:p>
      <w:r>
        <w:rPr>
          <w:rFonts w:ascii="Calibri" w:cs="Calibri" w:eastAsia="Calibri" w:hAnsi="Calibri"/>
          <w:i/>
          <w:iCs/>
          <w:color w:val="6B6477"/>
          <w:sz w:val="19"/>
          <w:szCs w:val="19"/>
        </w:rPr>
        <w:t xml:space="preserve">Exposition créée par Dr Erika Roldán Roa (Institut Max-Planck de mathématiques dans les sciences, Leipzig) dans le cadre du partenariat Erasmus+ AI-Exhibits : MPI MiS · IMAGINARY · Institut Henri Poincaré · Citizens in Power · ITT Giordani Striano. Licence CC BY-NC-ND 4.0.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9E6" w:sz="4" w:space="4"/>
      </w:pBdr>
      <w:jc w:val="center"/>
    </w:pPr>
    <w:r>
      <w:rPr>
        <w:rFonts w:ascii="Calibri" w:cs="Calibri" w:eastAsia="Calibri" w:hAnsi="Calibri"/>
        <w:color w:val="6B6477"/>
        <w:sz w:val="17"/>
        <w:szCs w:val="17"/>
      </w:rPr>
      <w:t xml:space="preserve">AI-Exhibits · Sliding Puzzle · documentation de l’exposition — </w:t>
    </w:r>
    <w:r>
      <w:rPr>
        <w:rFonts w:ascii="Calibri" w:cs="Calibri" w:eastAsia="Calibri" w:hAnsi="Calibri"/>
        <w:color w:val="6B64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52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D6217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3dmxkaeovkyktou8tt8j" Type="http://schemas.openxmlformats.org/officeDocument/2006/relationships/hyperlink" Target="https://erikaroldanroa.github.io/ai-exhibits-rl-public/" TargetMode="External"/><Relationship Id="rIdaoeyu_b9r87ijsrh4mcns" Type="http://schemas.openxmlformats.org/officeDocument/2006/relationships/hyperlink" Target="https://github.com/ErikaRoldanRoa/ai-exhibits-rl-public" TargetMode="External"/><Relationship Id="rIdykhvpdqpraabkbsjzmjai" Type="http://schemas.openxmlformats.org/officeDocument/2006/relationships/hyperlink" Target="https://erikaroldanroa.github.io/ai-exhibits-rl-public/mission1_kit.html?lang=fr" TargetMode="External"/><Relationship Id="rIdc1bad9skk3qpyph6tywlf" Type="http://schemas.openxmlformats.org/officeDocument/2006/relationships/hyperlink" Target="https://erikaroldanroa.github.io/ai-exhibits-rl-public/mission2_kit.html?lang=fr" TargetMode="External"/><Relationship Id="rId73rqn23kntcyitpj87oou" Type="http://schemas.openxmlformats.org/officeDocument/2006/relationships/hyperlink" Target="https://erikaroldanroa.github.io/ai-exhibits-rl-public/mission3_kit.html?lang=fr" TargetMode="External"/><Relationship Id="rIdo1ecafursrtza7t3emfnl" Type="http://schemas.openxmlformats.org/officeDocument/2006/relationships/hyperlink" Target="https://erikaroldanroa.github.io/ai-exhibits-rl-public/mission1_student.html?lang=fr" TargetMode="External"/><Relationship Id="rIdi9hj-bje3h2qkuzdqrbhi" Type="http://schemas.openxmlformats.org/officeDocument/2006/relationships/hyperlink" Target="https://erikaroldanroa.github.io/ai-exhibits-rl-public/print/fiche_equipe.html?lang=fr" TargetMode="External"/><Relationship Id="rIdzwpxehsvxkhs3yxl2us2a" Type="http://schemas.openxmlformats.org/officeDocument/2006/relationships/hyperlink" Target="https://arxiv.org/abs/2412.01937" TargetMode="External"/><Relationship Id="rIddnoo-keyufntnv8jhlucq" Type="http://schemas.openxmlformats.org/officeDocument/2006/relationships/hyperlink" Target="https://arxiv.org/abs/2201.00919" TargetMode="External"/><Relationship Id="rIddfnfbhour_sc_uvqwx2ce" Type="http://schemas.openxmlformats.org/officeDocument/2006/relationships/hyperlink" Target="https://arxiv.org/abs/2307.14143" TargetMode="External"/><Relationship Id="rId8" Type="http://schemas.openxmlformats.org/officeDocument/2006/relationships/image" Target="media/354af4f4f159aa2a958c187cb7224334158c51f8.png"/><Relationship Id="rId9" Type="http://schemas.openxmlformats.org/officeDocument/2006/relationships/image" Target="media/d621f02cfa6b00b4cb159beeb7ce3bc04e68c609.png"/><Relationship Id="rId10" Type="http://schemas.openxmlformats.org/officeDocument/2006/relationships/image" Target="media/efb823342ee7849566577fcdd48da63f8db85383.png"/><Relationship Id="rId11" Type="http://schemas.openxmlformats.org/officeDocument/2006/relationships/image" Target="media/6c64aec9a26d7398123e8b29ef6426c975aa3c88.png"/><Relationship Id="rId12" Type="http://schemas.openxmlformats.org/officeDocument/2006/relationships/image" Target="media/5813627a4ca92473c7fa3d5a442046c59c0ad90e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2026-06-10T05:24:08.469Z</dcterms:created>
  <dcterms:modified xsi:type="dcterms:W3CDTF">2026-06-10T05:24:08.469Z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