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6B6477"/>
          <w:sz w:val="19"/>
          <w:szCs w:val="19"/>
        </w:rPr>
        <w:t xml:space="preserve">AI-EXHIBITS · DOCUMENTAZIONE DELL’EXHIBIT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523"/>
          <w:sz w:val="56"/>
          <w:szCs w:val="56"/>
        </w:rPr>
        <w:t xml:space="preserve">Sliding Puzzle</w:t>
      </w:r>
    </w:p>
    <w:p>
      <w:pPr>
        <w:pBdr>
          <w:bottom w:val="single" w:color="D6217F" w:sz="12" w:space="4"/>
        </w:pBdr>
        <w:spacing w:after="60"/>
      </w:pPr>
      <w:r>
        <w:rPr>
          <w:rFonts w:ascii="Calibri" w:cs="Calibri" w:eastAsia="Calibri" w:hAnsi="Calibri"/>
          <w:i/>
          <w:iCs/>
          <w:color w:val="6B6477"/>
          <w:sz w:val="26"/>
          <w:szCs w:val="26"/>
        </w:rPr>
        <w:t xml:space="preserve">Allenare la propria IA — apprendimento per rinforzo su puzzle a scorrimento di dimensione crescente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Exhibit online: </w:t>
      </w:r>
      <w:hyperlink w:history="1" r:id="rIdryzajyjfg0_jhckrju5eq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https://erikaroldanroa.github.io/ai-exhibits-rl-public/</w:t>
        </w:r>
      </w:hyperlink>
      <w:r>
        <w:rPr>
          <w:rFonts w:ascii="Calibri" w:cs="Calibri" w:eastAsia="Calibri" w:hAnsi="Calibri"/>
          <w:color w:val="1A1523"/>
          <w:sz w:val="24"/>
          <w:szCs w:val="24"/>
        </w:rPr>
        <w:t xml:space="preserve">   ·   EN · FR · DE · IT · exhibit in situ e pop-up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Codice sorgente: </w:t>
      </w:r>
      <w:hyperlink w:history="1" r:id="rIdm89ygr5fihppjlyz2vv04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github.com/ErikaRoldanRoa/ai-exhibits-rl-public</w:t>
        </w:r>
      </w:hyperlink>
    </w:p>
    <w:p>
      <w:pPr>
        <w:spacing w:after="40" w:before="12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01_home_missions.png" descr="L’hub: tre missioni, un solo algoritmo Q-learning — la scala cresce da 12 a 181.440 stati." title="L’hub: tre missioni, un solo algoritmo Q-learning — la scala cresce da 12 a 181.440 sta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477"/>
          <w:sz w:val="18"/>
          <w:szCs w:val="18"/>
        </w:rPr>
        <w:t xml:space="preserve">L’hub: tre missioni, un solo algoritmo Q-learning — la scala cresce da 12 a 181.440 stati.</w:t>
      </w: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Descrizione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L’exhibit “Sliding Puzzle” permette ai visitatori e alle visitatrici di allenare la propria agente di apprendimento per rinforzo su tre puzzle a scorrimento di dimensione crescente: 2×2, 2×3 e 3×3. Funziona in qualsiasi browser in quattro lingue, non richiede installazione né account e, dopo la prima visita, funziona anche offline: può quindi servire sia come postazione espositiva autonoma sia come exhibit pop-up in classe.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Ogni missione mostra il puzzle accanto a una visualizzazione dal vivo del suo spazio degli stati — ogni disposizione delle tessere è uno stato, ogni mossa lecita un arco. Si comincia risolvendo il puzzle a mano, poi si avvia l’addestramento e si guarda un’agente Q-learning imparare: episodio dopo episodio i valori Q risalgono all’indietro dal traguardo attraverso il grafo, mentre una barra di avanzamento mostra la quota di stati esplorati. Tre cursori espongono la matematica dell’algoritmo — il tasso di apprendimento α, il fattore di sconto γ e il tasso di esplorazione ε — e i pulsanti benchmark fanno gareggiare l’agente addestrata su configurazioni mescolate. Kit A4 stampabili (guida per chi facilita, scheda studente con l’orbita dei 12 stati e la tabella Q a 24 righe, scheda di squadra) accompagnano l’exhibit per i laboratori.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2260"/>
        <w:gridCol w:w="2260"/>
        <w:gridCol w:w="2260"/>
      </w:tblGrid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shd w:fill="FBEA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217F"/>
                <w:sz w:val="21"/>
                <w:szCs w:val="21"/>
              </w:rPr>
              <w:t xml:space="preserve"/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shd w:fill="FBEA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217F"/>
                <w:sz w:val="21"/>
                <w:szCs w:val="21"/>
              </w:rPr>
              <w:t xml:space="preserve">Missione I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shd w:fill="FBEA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217F"/>
                <w:sz w:val="21"/>
                <w:szCs w:val="21"/>
              </w:rPr>
              <w:t xml:space="preserve">Missione II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shd w:fill="FBEA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217F"/>
                <w:sz w:val="21"/>
                <w:szCs w:val="21"/>
              </w:rPr>
              <w:t xml:space="preserve">Missione III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23"/>
                <w:sz w:val="21"/>
                <w:szCs w:val="21"/>
              </w:rPr>
              <w:t xml:space="preserve">Puzzle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2 × 2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2 × 3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3 × 3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23"/>
                <w:sz w:val="21"/>
                <w:szCs w:val="21"/>
              </w:rPr>
              <w:t xml:space="preserve">Stati raggiungibili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12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360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181.440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23"/>
                <w:sz w:val="21"/>
                <w:szCs w:val="21"/>
              </w:rPr>
              <w:t xml:space="preserve">Numero di Dio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6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21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23"/>
                <w:sz w:val="21"/>
                <w:szCs w:val="21"/>
              </w:rPr>
              <w:t xml:space="preserve">Addestramento predefinito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~5 s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~1 min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10+ min, incompleto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Attività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Ogni missione segue lo stesso arco: </w:t>
      </w:r>
      <w:r>
        <w:rPr>
          <w:rFonts w:ascii="Calibri" w:cs="Calibri" w:eastAsia="Calibri" w:hAnsi="Calibri"/>
          <w:i/>
          <w:iCs/>
          <w:color w:val="1A1523"/>
          <w:sz w:val="24"/>
          <w:szCs w:val="24"/>
        </w:rPr>
        <w:t xml:space="preserve">leggere il mondo → giocare a mano → addestrare l’agente → fare il punto.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Missione I (2×2).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Le partecipanti e i partecipanti risolvono prima il puzzle a mano sullo schermo, poi addestrano l’agente per 300 episodi e osservano i valori Q propagarsi all’indietro nel grafo dei 12 stati, fino alla convergenza dell’intera tabella in pochi secondi. Con la scheda stampata possono compilare da sé la tabella Q a 24 righe e verificare che il gioco ottimale non richieda mai più di 6 mosse.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02_mission1_trained.png" descr="Missione I dopo l’addestramento: il grafo completo dei 12 stati, valori Q a convergenza — l’intero universo del puzzle su uno schermo." title="Missione I dopo l’addestramento: il grafo completo dei 12 stati, valori Q a convergenza — l’intero universo del puzzle su uno scher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477"/>
          <w:sz w:val="18"/>
          <w:szCs w:val="18"/>
        </w:rPr>
        <w:t xml:space="preserve">Missione I dopo l’addestramento: il grafo completo dei 12 stati, valori Q a convergenza — l’intero universo del puzzle su uno schermo.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Missione II (2×3).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Si riaddestra l’agente con iperparametri diversi: portare il fattore di sconto γ da 0,5 a 0,99 mostra come la ricompensa penetri più in profondità nello spazio degli stati; portare il tasso di esplorazione ε da 0 a 0,5 mostra come la barra degli stati esplorati si riempia a velocità molto diverse.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03_mission2_training.png" descr="Missione II: i parametri di addestramento α, γ, ε nelle mani del pubblico — 360 stati, esplorati al completo." title="Missione II: i parametri di addestramento α, γ, ε nelle mani del pubblico — 360 stati, esplorati al compl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477"/>
          <w:sz w:val="18"/>
          <w:szCs w:val="18"/>
        </w:rPr>
        <w:t xml:space="preserve">Missione II: i parametri di addestramento α, γ, ε nelle mani del pubblico — 360 stati, esplorati al completo.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Missione III (3×3).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Lo stesso algoritmo incontra 181.440 stati raggiungibili. Anche dopo 10.000 episodi la barra degli stati esplorati si ferma ben sotto il 100% — la tabella di consultazione ha toccato il suo tetto. Una carta “economia” traduce il divario in denaro (una demo costa frazioni di centesimo; una tabella completa garantita, centinaia di euro di calcolo), rendendo tangibile la maledizione della dimensionalità.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04_mission3_curse.png" descr="Missione III: dopo 10.000 episodi la barra si ferma — la maledizione della dimensionalità, tradotta in euro." title="Missione III: dopo 10.000 episodi la barra si ferma — la maledizione della dimensionalità, tradotta in e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477"/>
          <w:sz w:val="18"/>
          <w:szCs w:val="18"/>
        </w:rPr>
        <w:t xml:space="preserve">Missione III: dopo 10.000 episodi la barra si ferma — la maledizione della dimensionalità, tradotta in euro.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L’attività può concludersi in modi diversi: l’agente converge a una politica ottimale (missioni I–II), si interrompe l’addestramento con una politica appresa solo in parte, oppure — finale voluto della missione III — il gruppo discute perché la tabella non si possa riempire e che cosa potrebbe porvi rimedio: si apre così la porta alle reti neurali (DQN, AlphaZero).</w:t>
      </w: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Ulteriori esplorazioni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L’exhibit si estende in modo naturale a puzzle a scorrimento con altre geometrie e dimensioni, a partire dagli articoli di ricerca che lo sostengono: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Con le mani: risolvere puzzle esagonali stampati in 3D che richiedono numeri diversi di caselle vuote per essere risolvibili — un incontro concreto con le classi di parità come invariante che blocca le soluzioni [2].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Un videogioco per i puzzle cubici in 3D e 4D, dove la casella vuota del puzzle 2D diventa una faccia libera e l’intuizione umana comincia a vacillare [3].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Confrontare come tre famiglie di algoritmi risolvono lo stesso puzzle — la ricerca A* (ottimale ma costosa), gli algoritmi evolutivi (robusti e scalabili, senza garanzia di ottimalità) e l’apprendimento per rinforzo (che migliora con l’esperienza) — attraverso video che mostrano mosse e tempi di calcolo [1].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La mediatrice o il mediatore ha bisogno dei puzzle esagonali stampati in 3D, di uno schermo per videogioco e video e, facoltativamente, dei tre articoli di ricerca [1–3] esposti alla postazione.</w:t>
      </w: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Informazioni di contesto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L’apprendimento per rinforzo è uno dei grandi paradigmi dell’apprendimento automatico: un’agente impara dall’interazione anziché da esempi etichettati. Immersa in un ambiente, agisce, osserva lo stato risultante e riceve una ricompensa — qui +1 al raggiungimento della configurazione obiettivo, 0 altrimenti. Il Q-learning memorizza, per ogni coppia (stato, azione), un numero che stima la ricompensa futura cumulativa; ogni mossa aggiorna questo valore Q in base alla ricompensa ricevuta e al miglior valore Q disponibile nello stato successivo. Il fattore di sconto γ determina fin dove la ricompensa si propaga all’indietro dal traguardo; il tasso di esplorazione ε spinge l’agente a provare mosse nuove invece di sfruttare soltanto ciò che già sa.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Sono i puzzle stessi a portare la matematica. Solo metà delle n! permutazioni delle tessere è raggiungibile: un invariante di parità divide in due lo spazio delle configurazioni, e l’obiettivo vive in una sola metà. Il Numero di Dio — la più lunga tra le soluzioni più brevi — è uguale al diametro del grafo degli stati: 6 per il 2×2, 21 per il 2×3, 31 per il 3×3, ognuno verificato con una ricerca in ampiezza. La crescita fattoriale dello spazio degli stati (12 → 360 → 181.440) è esattamente il motivo per cui il Q-learning tabellare fallisce su larga scala e per cui l’RL moderno sostituisce la tabella con reti neurali — gli stessi principi (agente, ricompensa, politica, stima dei valori) che muovono gli agenti di gioco, la robotica e i sistemi di raccomandazione.</w:t>
      </w: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Informazioni didattiche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Adatto dai 13 anni; non serve alcuna conoscenza preliminare di RL — la missione I insegna tutto da zero. Allestimento consigliato: un browser per coppia o piccolo gruppo, più l’hub proiettato su uno schermo comune, così l’aula guarda insieme salire la barra degli stati esplorati. La sola missione I richiede circa 30 minuti; le tre missioni, circa 2 ore. Far prevedere l’effetto di un cursore prima di riavviare l’addestramento (per esempio: “che cosa succede se ε = 0?”) genera quasi sempre le discussioni migliori. I kit stampati permettono di calcolare i valori Q a mano prima che lo faccia la macchina — lo strumento non deve mai essere più intelligente di chi impara. L’exhibit è stato sperimentato in laboratori scolastici alla Maison Poincaré di Parigi (gennaio 2026, due classi di Seconde, secondo anno di liceo francese) e in un campus di matematica all’Università di Ginevra (aprile 2026).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Materiali stampabili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(A4 — da aprire nel browser e stampare; ogni link si apre direttamente in italiano):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a9vp3kik4t03rfm3knm24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Kit Missione I · guida per chi facilita</w:t>
        </w:r>
      </w:hyperlink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dropkx4kr62sxgqlmiqb8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Kit Missione II · guida per chi facilita</w:t>
        </w:r>
      </w:hyperlink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na0hdfdoqvytgr2-jug1s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Kit Missione III · guida per chi facilita</w:t>
        </w:r>
      </w:hyperlink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kqk5nhad6irmm2y7a6fh-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Scheda studente · Missione I (orbita dei 12 stati, tabella Q a 24 righe)</w:t>
        </w:r>
      </w:hyperlink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6deicscpqli6aorwkmnjs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Scheda di squadra — le tre missioni su una pagina</w:t>
        </w:r>
      </w:hyperlink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Riferimenti</w:t>
      </w:r>
    </w:p>
    <w:p>
      <w:pPr>
        <w:spacing w:after="110" w:line="264"/>
        <w:ind w:left="360" w:hanging="360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[1]  Nono SC Merleau, Miguel O’Malley, Érika Roldán, and Sayan Mukherjee. </w:t>
      </w:r>
      <w:r>
        <w:rPr>
          <w:rFonts w:ascii="Calibri" w:cs="Calibri" w:eastAsia="Calibri" w:hAnsi="Calibri"/>
          <w:i/>
          <w:iCs/>
          <w:color w:val="1A1523"/>
          <w:sz w:val="24"/>
          <w:szCs w:val="24"/>
        </w:rPr>
        <w:t xml:space="preserve">Approximately Optimal Search on a Higher-dimensional Sliding Puzzle.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arXiv:2412.01937, 2024. </w:t>
      </w:r>
      <w:hyperlink w:history="1" r:id="rIdvk1jhraowg0wxmyrew2eg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https://arxiv.org/abs/2412.01937</w:t>
        </w:r>
      </w:hyperlink>
    </w:p>
    <w:p>
      <w:pPr>
        <w:spacing w:after="110" w:line="264"/>
        <w:ind w:left="360" w:hanging="360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[2]  Ray Karpman and Érika Roldán. </w:t>
      </w:r>
      <w:r>
        <w:rPr>
          <w:rFonts w:ascii="Calibri" w:cs="Calibri" w:eastAsia="Calibri" w:hAnsi="Calibri"/>
          <w:i/>
          <w:iCs/>
          <w:color w:val="1A1523"/>
          <w:sz w:val="24"/>
          <w:szCs w:val="24"/>
        </w:rPr>
        <w:t xml:space="preserve">Parity Property of Hexagonal Sliding Puzzles.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arXiv:2201.00919, 2022. </w:t>
      </w:r>
      <w:hyperlink w:history="1" r:id="rIdp-nbabcszqegmmmx4gdtt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https://arxiv.org/abs/2201.00919</w:t>
        </w:r>
      </w:hyperlink>
    </w:p>
    <w:p>
      <w:pPr>
        <w:spacing w:after="110" w:line="264"/>
        <w:ind w:left="360" w:hanging="360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[3]  Moritz Beyer, Stefano Mereta, Érika Roldán, and Peter Voran. </w:t>
      </w:r>
      <w:r>
        <w:rPr>
          <w:rFonts w:ascii="Calibri" w:cs="Calibri" w:eastAsia="Calibri" w:hAnsi="Calibri"/>
          <w:i/>
          <w:iCs/>
          <w:color w:val="1A1523"/>
          <w:sz w:val="24"/>
          <w:szCs w:val="24"/>
        </w:rPr>
        <w:t xml:space="preserve">Higher-dimensional Cubical Sliding Puzzles.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arXiv:2307.14143, 2023. </w:t>
      </w:r>
      <w:hyperlink w:history="1" r:id="rIdsaix3c34g86jy2g0fv0yo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https://arxiv.org/abs/2307.14143</w:t>
        </w:r>
      </w:hyperlink>
    </w:p>
    <w:p>
      <w:pPr>
        <w:pBdr>
          <w:top w:val="single" w:color="E3D9E6" w:sz="4" w:space="4"/>
        </w:pBdr>
        <w:spacing w:after="100" w:before="240"/>
      </w:pPr>
      <w:r>
        <w:drawing>
          <wp:inline distT="0" distB="0" distL="0" distR="0">
            <wp:extent cx="571500" cy="381000"/>
            <wp:effectExtent t="0" r="0" b="0" l="0"/>
            <wp:docPr id="1" name="eu_emblem" descr="Cofinanziato dall’Unione europea" title="Cofinanziato dall’Unione europ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/>
          <w:bCs/>
          <w:color w:val="1A1523"/>
          <w:sz w:val="21"/>
          <w:szCs w:val="21"/>
        </w:rPr>
        <w:t xml:space="preserve">   Cofinanziato dall’Unione europea</w:t>
      </w:r>
    </w:p>
    <w:p>
      <w:r>
        <w:rPr>
          <w:rFonts w:ascii="Calibri" w:cs="Calibri" w:eastAsia="Calibri" w:hAnsi="Calibri"/>
          <w:i/>
          <w:iCs/>
          <w:color w:val="6B6477"/>
          <w:sz w:val="19"/>
          <w:szCs w:val="19"/>
        </w:rPr>
        <w:t xml:space="preserve">Exhibit creato dalla Dr.ssa Erika Roldán Roa (Istituto Max Planck per la Matematica nelle Scienze, Lipsia) nell’ambito del partenariato Erasmus+ AI-Exhibits: MPI MiS · IMAGINARY · Institut Henri Poincaré · Citizens in Power · ITT Giordani Striano. Licenza CC BY-NC-ND 4.0.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9E6" w:sz="4" w:space="4"/>
      </w:pBdr>
      <w:jc w:val="center"/>
    </w:pPr>
    <w:r>
      <w:rPr>
        <w:rFonts w:ascii="Calibri" w:cs="Calibri" w:eastAsia="Calibri" w:hAnsi="Calibri"/>
        <w:color w:val="6B6477"/>
        <w:sz w:val="17"/>
        <w:szCs w:val="17"/>
      </w:rPr>
      <w:t xml:space="preserve">AI-Exhibits · Sliding Puzzle · documentazione dell’exhibit — </w:t>
    </w:r>
    <w:r>
      <w:rPr>
        <w:rFonts w:ascii="Calibri" w:cs="Calibri" w:eastAsia="Calibri" w:hAnsi="Calibri"/>
        <w:color w:val="6B64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52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D6217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yzajyjfg0_jhckrju5eq" Type="http://schemas.openxmlformats.org/officeDocument/2006/relationships/hyperlink" Target="https://erikaroldanroa.github.io/ai-exhibits-rl-public/" TargetMode="External"/><Relationship Id="rIdm89ygr5fihppjlyz2vv04" Type="http://schemas.openxmlformats.org/officeDocument/2006/relationships/hyperlink" Target="https://github.com/ErikaRoldanRoa/ai-exhibits-rl-public" TargetMode="External"/><Relationship Id="rIda9vp3kik4t03rfm3knm24" Type="http://schemas.openxmlformats.org/officeDocument/2006/relationships/hyperlink" Target="https://erikaroldanroa.github.io/ai-exhibits-rl-public/mission1_kit.html?lang=it" TargetMode="External"/><Relationship Id="rIddropkx4kr62sxgqlmiqb8" Type="http://schemas.openxmlformats.org/officeDocument/2006/relationships/hyperlink" Target="https://erikaroldanroa.github.io/ai-exhibits-rl-public/mission2_kit.html?lang=it" TargetMode="External"/><Relationship Id="rIdna0hdfdoqvytgr2-jug1s" Type="http://schemas.openxmlformats.org/officeDocument/2006/relationships/hyperlink" Target="https://erikaroldanroa.github.io/ai-exhibits-rl-public/mission3_kit.html?lang=it" TargetMode="External"/><Relationship Id="rIdkqk5nhad6irmm2y7a6fh-" Type="http://schemas.openxmlformats.org/officeDocument/2006/relationships/hyperlink" Target="https://erikaroldanroa.github.io/ai-exhibits-rl-public/mission1_student.html?lang=it" TargetMode="External"/><Relationship Id="rId6deicscpqli6aorwkmnjs" Type="http://schemas.openxmlformats.org/officeDocument/2006/relationships/hyperlink" Target="https://erikaroldanroa.github.io/ai-exhibits-rl-public/print/fiche_equipe.html?lang=it" TargetMode="External"/><Relationship Id="rIdvk1jhraowg0wxmyrew2eg" Type="http://schemas.openxmlformats.org/officeDocument/2006/relationships/hyperlink" Target="https://arxiv.org/abs/2412.01937" TargetMode="External"/><Relationship Id="rIdp-nbabcszqegmmmx4gdtt" Type="http://schemas.openxmlformats.org/officeDocument/2006/relationships/hyperlink" Target="https://arxiv.org/abs/2201.00919" TargetMode="External"/><Relationship Id="rIdsaix3c34g86jy2g0fv0yo" Type="http://schemas.openxmlformats.org/officeDocument/2006/relationships/hyperlink" Target="https://arxiv.org/abs/2307.14143" TargetMode="External"/><Relationship Id="rId8" Type="http://schemas.openxmlformats.org/officeDocument/2006/relationships/image" Target="media/ca1681043cf312a32df0ee79d1a5ef12e56cb59f.png"/><Relationship Id="rId9" Type="http://schemas.openxmlformats.org/officeDocument/2006/relationships/image" Target="media/943faa27e26c308570a0e4555534259462c35ad9.png"/><Relationship Id="rId10" Type="http://schemas.openxmlformats.org/officeDocument/2006/relationships/image" Target="media/47e2db0a149b14b878822327824135b623faec8f.png"/><Relationship Id="rId11" Type="http://schemas.openxmlformats.org/officeDocument/2006/relationships/image" Target="media/48771932dc7d71d94555a200d7c7293955edf8d2.png"/><Relationship Id="rId12" Type="http://schemas.openxmlformats.org/officeDocument/2006/relationships/image" Target="media/5813627a4ca92473c7fa3d5a442046c59c0ad90e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2026-06-10T05:24:09.138Z</dcterms:created>
  <dcterms:modified xsi:type="dcterms:W3CDTF">2026-06-10T05:24:09.138Z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