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dentro de la mochila en la carpeta Entrega_2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dentro del sistema operativo instalado en la máquina virtual.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