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0F172A"/>
          <w:sz w:val="40"/>
        </w:rPr>
        <w:t>GUÍA MAESTRA DE SUSTENTACIÓN Y DEFENSA TÉCNICA</w:t>
      </w:r>
    </w:p>
    <w:p>
      <w:pPr>
        <w:spacing w:before="0" w:after="320"/>
      </w:pPr>
      <w:r>
        <w:rPr>
          <w:rFonts w:ascii="Calibri" w:hAnsi="Calibri"/>
          <w:color w:val="0284C7"/>
          <w:sz w:val="24"/>
        </w:rPr>
        <w:t>Semanas 07 a 10: De la Representación y Clasificación a la Visión Computacional Avanzada en el Taller de Motos</w:t>
      </w:r>
    </w:p>
    <w:tbl>
      <w:tblPr>
        <w:tblW w:type="auto" w:w="0"/>
        <w:jc w:val="center"/>
        <w:tblLayout w:type="fixed"/>
        <w:tblLook w:firstColumn="1" w:firstRow="1" w:lastColumn="0" w:lastRow="0" w:noHBand="0" w:noVBand="1" w:val="04A0"/>
      </w:tblPr>
      <w:tblGrid>
        <w:gridCol w:w="4680"/>
        <w:gridCol w:w="4680"/>
      </w:tblGrid>
      <w:tr>
        <w:tc>
          <w:tcPr>
            <w:tcW w:type="dxa" w:w="2880"/>
            <w:shd w:fill="1E293B"/>
            <w:tcMar>
              <w:top w:w="90" w:type="dxa"/>
              <w:bottom w:w="90" w:type="dxa"/>
              <w:left w:w="110" w:type="dxa"/>
              <w:right w:w="110" w:type="dxa"/>
            </w:tcMar>
          </w:tcPr>
          <w:p>
            <w:pPr>
              <w:spacing w:before="40" w:after="40"/>
              <w:jc w:val="center"/>
            </w:pPr>
            <w:r>
              <w:rPr>
                <w:rFonts w:ascii="Calibri" w:hAnsi="Calibri"/>
                <w:b/>
                <w:color w:val="FFFFFF"/>
                <w:sz w:val="19"/>
              </w:rPr>
              <w:t>Campo</w:t>
            </w:r>
          </w:p>
        </w:tc>
        <w:tc>
          <w:tcPr>
            <w:tcW w:type="dxa" w:w="6480"/>
            <w:shd w:fill="1E293B"/>
            <w:tcMar>
              <w:top w:w="90" w:type="dxa"/>
              <w:bottom w:w="90" w:type="dxa"/>
              <w:left w:w="110" w:type="dxa"/>
              <w:right w:w="110" w:type="dxa"/>
            </w:tcMar>
          </w:tcPr>
          <w:p>
            <w:pPr>
              <w:spacing w:before="40" w:after="40"/>
              <w:jc w:val="center"/>
            </w:pPr>
            <w:r>
              <w:rPr>
                <w:rFonts w:ascii="Calibri" w:hAnsi="Calibri"/>
                <w:b/>
                <w:color w:val="FFFFFF"/>
                <w:sz w:val="19"/>
              </w:rPr>
              <w:t>Detalle Institucional y Académico</w:t>
            </w:r>
          </w:p>
        </w:tc>
      </w:tr>
      <w:tr>
        <w:tc>
          <w:tcPr>
            <w:tcW w:type="dxa" w:w="2880"/>
            <w:shd w:fill="FFFFFF"/>
            <w:tcMar>
              <w:top w:w="70" w:type="dxa"/>
              <w:bottom w:w="70" w:type="dxa"/>
              <w:left w:w="100" w:type="dxa"/>
              <w:right w:w="100" w:type="dxa"/>
            </w:tcMar>
          </w:tcPr>
          <w:p>
            <w:pPr>
              <w:spacing w:before="20" w:after="20"/>
            </w:pPr>
            <w:r>
              <w:rPr>
                <w:rFonts w:ascii="Calibri" w:hAnsi="Calibri"/>
                <w:color w:val="334155"/>
                <w:sz w:val="18"/>
              </w:rPr>
              <w:t>Asignatura</w:t>
            </w:r>
          </w:p>
        </w:tc>
        <w:tc>
          <w:tcPr>
            <w:tcW w:type="dxa" w:w="6480"/>
            <w:shd w:fill="FFFFFF"/>
            <w:tcMar>
              <w:top w:w="70" w:type="dxa"/>
              <w:bottom w:w="70" w:type="dxa"/>
              <w:left w:w="100" w:type="dxa"/>
              <w:right w:w="100" w:type="dxa"/>
            </w:tcMar>
          </w:tcPr>
          <w:p>
            <w:pPr>
              <w:spacing w:before="20" w:after="20"/>
            </w:pPr>
            <w:r>
              <w:rPr>
                <w:rFonts w:ascii="Calibri" w:hAnsi="Calibri"/>
                <w:color w:val="334155"/>
                <w:sz w:val="18"/>
              </w:rPr>
              <w:t>Inteligencia Artificial - 2026</w:t>
            </w:r>
          </w:p>
        </w:tc>
      </w:tr>
      <w:tr>
        <w:tc>
          <w:tcPr>
            <w:tcW w:type="dxa" w:w="2880"/>
            <w:shd w:fill="F8FAFC"/>
            <w:tcMar>
              <w:top w:w="70" w:type="dxa"/>
              <w:bottom w:w="70" w:type="dxa"/>
              <w:left w:w="100" w:type="dxa"/>
              <w:right w:w="100" w:type="dxa"/>
            </w:tcMar>
          </w:tcPr>
          <w:p>
            <w:pPr>
              <w:spacing w:before="20" w:after="20"/>
            </w:pPr>
            <w:r>
              <w:rPr>
                <w:rFonts w:ascii="Calibri" w:hAnsi="Calibri"/>
                <w:color w:val="334155"/>
                <w:sz w:val="18"/>
              </w:rPr>
              <w:t>Proyecto Aplicado</w:t>
            </w:r>
          </w:p>
        </w:tc>
        <w:tc>
          <w:tcPr>
            <w:tcW w:type="dxa" w:w="6480"/>
            <w:shd w:fill="F8FAFC"/>
            <w:tcMar>
              <w:top w:w="70" w:type="dxa"/>
              <w:bottom w:w="70" w:type="dxa"/>
              <w:left w:w="100" w:type="dxa"/>
              <w:right w:w="100" w:type="dxa"/>
            </w:tcMar>
          </w:tcPr>
          <w:p>
            <w:pPr>
              <w:spacing w:before="20" w:after="20"/>
            </w:pPr>
            <w:r>
              <w:rPr>
                <w:rFonts w:ascii="Calibri" w:hAnsi="Calibri"/>
                <w:color w:val="334155"/>
                <w:sz w:val="18"/>
              </w:rPr>
              <w:t>Sistema Inteligente de Monitoreo, Logística y Visión para Taller de Motos</w:t>
            </w:r>
          </w:p>
        </w:tc>
      </w:tr>
      <w:tr>
        <w:tc>
          <w:tcPr>
            <w:tcW w:type="dxa" w:w="2880"/>
            <w:shd w:fill="FFFFFF"/>
            <w:tcMar>
              <w:top w:w="70" w:type="dxa"/>
              <w:bottom w:w="70" w:type="dxa"/>
              <w:left w:w="100" w:type="dxa"/>
              <w:right w:w="100" w:type="dxa"/>
            </w:tcMar>
          </w:tcPr>
          <w:p>
            <w:pPr>
              <w:spacing w:before="20" w:after="20"/>
            </w:pPr>
            <w:r>
              <w:rPr>
                <w:rFonts w:ascii="Calibri" w:hAnsi="Calibri"/>
                <w:color w:val="334155"/>
                <w:sz w:val="18"/>
              </w:rPr>
              <w:t>Integrantes</w:t>
            </w:r>
          </w:p>
        </w:tc>
        <w:tc>
          <w:tcPr>
            <w:tcW w:type="dxa" w:w="6480"/>
            <w:shd w:fill="FFFFFF"/>
            <w:tcMar>
              <w:top w:w="70" w:type="dxa"/>
              <w:bottom w:w="70" w:type="dxa"/>
              <w:left w:w="100" w:type="dxa"/>
              <w:right w:w="100" w:type="dxa"/>
            </w:tcMar>
          </w:tcPr>
          <w:p>
            <w:pPr>
              <w:spacing w:before="20" w:after="20"/>
            </w:pPr>
            <w:r>
              <w:rPr>
                <w:rFonts w:ascii="Calibri" w:hAnsi="Calibri"/>
                <w:color w:val="334155"/>
                <w:sz w:val="18"/>
              </w:rPr>
              <w:t>Erick Santiago Garcia Sanchez | Oscar David Gutierrez</w:t>
            </w:r>
          </w:p>
        </w:tc>
      </w:tr>
      <w:tr>
        <w:tc>
          <w:tcPr>
            <w:tcW w:type="dxa" w:w="2880"/>
            <w:shd w:fill="F8FAFC"/>
            <w:tcMar>
              <w:top w:w="70" w:type="dxa"/>
              <w:bottom w:w="70" w:type="dxa"/>
              <w:left w:w="100" w:type="dxa"/>
              <w:right w:w="100" w:type="dxa"/>
            </w:tcMar>
          </w:tcPr>
          <w:p>
            <w:pPr>
              <w:spacing w:before="20" w:after="20"/>
            </w:pPr>
            <w:r>
              <w:rPr>
                <w:rFonts w:ascii="Calibri" w:hAnsi="Calibri"/>
                <w:color w:val="334155"/>
                <w:sz w:val="18"/>
              </w:rPr>
              <w:t>Objetivo del Documento</w:t>
            </w:r>
          </w:p>
        </w:tc>
        <w:tc>
          <w:tcPr>
            <w:tcW w:type="dxa" w:w="6480"/>
            <w:shd w:fill="F8FAFC"/>
            <w:tcMar>
              <w:top w:w="70" w:type="dxa"/>
              <w:bottom w:w="70" w:type="dxa"/>
              <w:left w:w="100" w:type="dxa"/>
              <w:right w:w="100" w:type="dxa"/>
            </w:tcMar>
          </w:tcPr>
          <w:p>
            <w:pPr>
              <w:spacing w:before="20" w:after="20"/>
            </w:pPr>
            <w:r>
              <w:rPr>
                <w:rFonts w:ascii="Calibri" w:hAnsi="Calibri"/>
                <w:color w:val="334155"/>
                <w:sz w:val="18"/>
              </w:rPr>
              <w:t>Proveer el dominio conceptual, algorítmico y de código línea por línea para responder con rigor científico a preguntas y modificaciones de código en vivo.</w:t>
            </w:r>
          </w:p>
        </w:tc>
      </w:tr>
    </w:tbl>
    <w:p>
      <w:pPr>
        <w:spacing w:after="120"/>
      </w:pPr>
    </w:p>
    <w:p>
      <w:pPr>
        <w:keepNext/>
        <w:spacing w:before="360" w:after="120"/>
      </w:pPr>
      <w:r>
        <w:rPr>
          <w:rFonts w:ascii="Calibri" w:hAnsi="Calibri"/>
          <w:b/>
          <w:color w:val="0F172A"/>
          <w:sz w:val="32"/>
        </w:rPr>
        <w:t>1. Visión Holística del Proyecto: Cómo se Conectan las Semanas 7 a 10</w:t>
      </w:r>
    </w:p>
    <w:p>
      <w:pPr>
        <w:spacing w:before="40" w:after="80" w:line="276" w:lineRule="auto"/>
      </w:pPr>
      <w:r>
        <w:rPr>
          <w:rFonts w:ascii="Calibri" w:hAnsi="Calibri"/>
          <w:color w:val="334155"/>
          <w:sz w:val="20"/>
        </w:rPr>
        <w:t>Un error recurrente en sustentaciones universitarias es tratar cada semana como un ejercicio aislado. En este proyecto, cada semana construye un eslabón directo del Sistema Inteligente de Inventarios y Diagnóstico para el Taller de Motos:</w:t>
      </w:r>
    </w:p>
    <w:p>
      <w:pPr>
        <w:spacing w:before="40" w:after="80" w:line="276" w:lineRule="auto"/>
      </w:pPr>
      <w:r>
        <w:rPr>
          <w:rFonts w:ascii="Calibri" w:hAnsi="Calibri"/>
          <w:color w:val="334155"/>
          <w:sz w:val="20"/>
        </w:rPr>
        <w:t xml:space="preserve"> Semana 07 (Representación del Conocimiento): El taller no puede gestionar piezas sin una formalización matemática. Modelamos los repuestos en un espacio vectorial 2D (Stock vs Días sin rotación), construimos una matriz de adyacencia de compatibilidad con modelos de moto (Pulsar 200, FZ-16, etc.) y un grafo de dependencias de mantenimiento.</w:t>
      </w:r>
    </w:p>
    <w:p>
      <w:pPr>
        <w:spacing w:before="40" w:after="80" w:line="276" w:lineRule="auto"/>
      </w:pPr>
      <w:r>
        <w:rPr>
          <w:rFonts w:ascii="Calibri" w:hAnsi="Calibri"/>
          <w:color w:val="334155"/>
          <w:sz w:val="20"/>
        </w:rPr>
        <w:t xml:space="preserve"> Semana 08 (Reconocimiento de Patrones con Machine Learning): Entrenamos un clasificador de Regresión Logística multiclase (con StandardScaler y Pipeline) sobre el espacio vectorial de la Semana 7 para categorizar automáticamente cualquier repuesto en 'Crítico', 'Alerta' u 'Óptimo'.</w:t>
      </w:r>
    </w:p>
    <w:p>
      <w:pPr>
        <w:spacing w:before="40" w:after="80" w:line="276" w:lineRule="auto"/>
      </w:pPr>
      <w:r>
        <w:rPr>
          <w:rFonts w:ascii="Calibri" w:hAnsi="Calibri"/>
          <w:color w:val="334155"/>
          <w:sz w:val="20"/>
        </w:rPr>
        <w:t xml:space="preserve"> Semana 09 (Visión Computacional I - Canny, Otsu y Regiones): ¿Cómo ingresan las piezas físicas al sistema sin digitación humana? Mediante una cámara cenital de inspección. Aplicamos Canny (evaluando el impacto de sigma) y umbralización automática de Otsu para aislar la bujía del fondo y contar sus componentes conexos.</w:t>
      </w:r>
    </w:p>
    <w:p>
      <w:pPr>
        <w:spacing w:before="40" w:after="80" w:line="276" w:lineRule="auto"/>
      </w:pPr>
      <w:r>
        <w:rPr>
          <w:rFonts w:ascii="Calibri" w:hAnsi="Calibri"/>
          <w:color w:val="334155"/>
          <w:sz w:val="20"/>
        </w:rPr>
        <w:t xml:space="preserve"> Semana 10 (Visión Computacional II - Histogramas, Texturas LBP y Vector 49D): Avanzamos a la 'huella dactilar' del repuesto. Extraemos histogramas de intensidad (32 bins), medimos propiedades de regiones en 8-conectividad filtrando ruido (&lt;50 px) y extraemos la firma textural mediante Patrones Binarios Locales (LBP uniforme de 10 bins). Unificamos todo en un vector numérico de 49 características (.npy) que permite distinguir una bujía, una llanta o un pistón automáticamente.</w:t>
      </w:r>
    </w:p>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8" w:space="0" w:color="10B981"/>
              <w:bottom w:val="none"/>
              <w:right w:val="none"/>
            </w:tcBorders>
          </w:tcPr>
          <w:p>
            <w:pPr>
              <w:spacing w:before="40" w:after="40"/>
            </w:pPr>
            <w:r>
              <w:rPr>
                <w:rFonts w:ascii="Calibri" w:hAnsi="Calibri"/>
                <w:b/>
                <w:color w:val="047857"/>
                <w:sz w:val="20"/>
              </w:rPr>
              <w:t>💡 LA FRASE CLAVE PARA ABRIR TU EXPOSICIÓN</w:t>
              <w:br/>
            </w:r>
            <w:r>
              <w:rPr>
                <w:rFonts w:ascii="Calibri" w:hAnsi="Calibri"/>
                <w:color w:val="1F2937"/>
                <w:sz w:val="19"/>
              </w:rPr>
              <w:t>"Profesor, el objetivo central de nuestro desarrollo es cerrar la brecha entre el mundo físico del taller mecánico y la toma de decisiones algorítmica: mediante visión computacional (Semanas 9 y 10) transformamos las piezas mecánicas en vectores numéricos de características; con ellos, los clasificadores de Machine Learning (Semana 8) y las estructuras de conocimiento (Semana 7) deciden alertas de compra y compatibilidad sin intervención manual."</w:t>
            </w:r>
          </w:p>
        </w:tc>
      </w:tr>
    </w:tbl>
    <w:p>
      <w:pPr>
        <w:spacing w:after="80"/>
      </w:pPr>
    </w:p>
    <w:p>
      <w:pPr>
        <w:keepNext/>
        <w:spacing w:before="360" w:after="120"/>
      </w:pPr>
      <w:r>
        <w:rPr>
          <w:rFonts w:ascii="Calibri" w:hAnsi="Calibri"/>
          <w:b/>
          <w:color w:val="0F172A"/>
          <w:sz w:val="32"/>
        </w:rPr>
        <w:t>2. Semana 07: Representación del Conocimiento en el Taller</w:t>
      </w:r>
    </w:p>
    <w:p>
      <w:pPr>
        <w:spacing w:before="40" w:after="80" w:line="276" w:lineRule="auto"/>
      </w:pPr>
      <w:r>
        <w:rPr>
          <w:rFonts w:ascii="Calibri" w:hAnsi="Calibri"/>
          <w:color w:val="334155"/>
          <w:sz w:val="20"/>
        </w:rPr>
        <w:t>La Semana 7 formaliza que la Inteligencia Artificial requiere estructuras matemáticas explícitas para operar sobre el dominio del taller.</w:t>
      </w:r>
    </w:p>
    <w:p>
      <w:pPr>
        <w:keepNext/>
        <w:spacing w:before="280" w:after="80"/>
      </w:pPr>
      <w:r>
        <w:rPr>
          <w:rFonts w:ascii="Calibri" w:hAnsi="Calibri"/>
          <w:b/>
          <w:color w:val="0284C7"/>
          <w:sz w:val="26"/>
        </w:rPr>
        <w:t>2.1 Modelado Vectorial de Estados de Inventario</w:t>
      </w:r>
    </w:p>
    <w:p>
      <w:pPr>
        <w:spacing w:before="40" w:after="80" w:line="276" w:lineRule="auto"/>
      </w:pPr>
      <w:r>
        <w:rPr>
          <w:rFonts w:ascii="Calibri" w:hAnsi="Calibri"/>
          <w:color w:val="334155"/>
          <w:sz w:val="20"/>
        </w:rPr>
        <w:t>Cada repuesto 'i' se formaliza como un vector en R^2:</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none"/>
              <w:left w:val="single" w:sz="24" w:space="0" w:color="0284C7"/>
              <w:bottom w:val="none"/>
              <w:right w:val="none"/>
            </w:tcBorders>
          </w:tcPr>
          <w:p>
            <w:pPr>
              <w:spacing w:before="40" w:after="40" w:line="252" w:lineRule="auto"/>
            </w:pPr>
            <w:r>
              <w:rPr>
                <w:rFonts w:ascii="Consolas" w:hAnsi="Consolas"/>
                <w:color w:val="0F172A"/>
                <w:sz w:val="17"/>
              </w:rPr>
              <w:t>x_i = [ Stock_Actual, Dias_Sin_Rotacion ]</w:t>
            </w:r>
          </w:p>
        </w:tc>
      </w:tr>
    </w:tbl>
    <w:p>
      <w:pPr>
        <w:spacing w:after="80"/>
      </w:pPr>
    </w:p>
    <w:p>
      <w:pPr>
        <w:spacing w:before="40" w:after="80" w:line="276" w:lineRule="auto"/>
      </w:pPr>
      <w:r>
        <w:rPr>
          <w:rFonts w:ascii="Calibri" w:hAnsi="Calibri"/>
          <w:color w:val="334155"/>
          <w:sz w:val="20"/>
        </w:rPr>
        <w:t xml:space="preserve">Donde: </w:t>
      </w:r>
    </w:p>
    <w:p>
      <w:pPr>
        <w:spacing w:before="40" w:after="80" w:line="276" w:lineRule="auto"/>
      </w:pPr>
      <w:r>
        <w:rPr>
          <w:rFonts w:ascii="Calibri" w:hAnsi="Calibri"/>
          <w:color w:val="334155"/>
          <w:sz w:val="20"/>
        </w:rPr>
        <w:t>• Stock_Actual: Cantidad física de repuestos disponibles en estantería (unidades enteras &gt;= 0).</w:t>
      </w:r>
    </w:p>
    <w:p>
      <w:pPr>
        <w:spacing w:before="40" w:after="80" w:line="276" w:lineRule="auto"/>
      </w:pPr>
      <w:r>
        <w:rPr>
          <w:rFonts w:ascii="Calibri" w:hAnsi="Calibri"/>
          <w:color w:val="334155"/>
          <w:sz w:val="20"/>
        </w:rPr>
        <w:t>• Dias_Sin_Rotacion: Cantidad de días consecutivos sin que el repuesto haya tenido salida comercial o de mantenimiento.</w:t>
      </w:r>
    </w:p>
    <w:p>
      <w:pPr>
        <w:keepNext/>
        <w:spacing w:before="280" w:after="80"/>
      </w:pPr>
      <w:r>
        <w:rPr>
          <w:rFonts w:ascii="Calibri" w:hAnsi="Calibri"/>
          <w:b/>
          <w:color w:val="0284C7"/>
          <w:sz w:val="26"/>
        </w:rPr>
        <w:t>2.2 Matriz de Compatibilidad y Grafos Relacionales</w:t>
      </w:r>
    </w:p>
    <w:p>
      <w:pPr>
        <w:spacing w:before="40" w:after="80" w:line="276" w:lineRule="auto"/>
      </w:pPr>
      <w:r>
        <w:rPr>
          <w:rFonts w:ascii="Calibri" w:hAnsi="Calibri"/>
          <w:color w:val="334155"/>
          <w:sz w:val="20"/>
        </w:rPr>
        <w:t>Se implementa una matriz binaria M in {0, 1}^(R x M) donde filas son repuestos y columnas son modelos de motocicletas (Bajaj Pulsar NS200, Yamaha FZ-16, AKT NKD 125, etc.).</w:t>
      </w:r>
    </w:p>
    <w:p>
      <w:pPr>
        <w:spacing w:before="40" w:after="80" w:line="276" w:lineRule="auto"/>
      </w:pPr>
      <w:r>
        <w:rPr>
          <w:rFonts w:ascii="Calibri" w:hAnsi="Calibri"/>
          <w:color w:val="334155"/>
          <w:sz w:val="20"/>
        </w:rPr>
        <w:t>A su vez, se formaliza un Grafo Dirigido G = (V, E) donde los nodos son tareas de mantenimiento y repuestos, y las aristas representan precedencia y requerimientos mecánicos (ej. 'Cambio de Pistón' requiere 'Empaque de Culata' y 'Aceite 4T').</w:t>
      </w:r>
    </w:p>
    <w:tbl>
      <w:tblPr>
        <w:tblW w:type="auto" w:w="0"/>
        <w:jc w:val="center"/>
        <w:tblLayout w:type="fixed"/>
        <w:tblLook w:firstColumn="1" w:firstRow="1" w:lastColumn="0" w:lastRow="0" w:noHBand="0" w:noVBand="1" w:val="04A0"/>
      </w:tblPr>
      <w:tblGrid>
        <w:gridCol w:w="9360"/>
      </w:tblGrid>
      <w:tr>
        <w:tc>
          <w:tcPr>
            <w:tcW w:type="dxa" w:w="9360"/>
            <w:shd w:fill="F3E8FF"/>
            <w:tcMar>
              <w:top w:w="120" w:type="dxa"/>
              <w:bottom w:w="120" w:type="dxa"/>
              <w:left w:w="180" w:type="dxa"/>
              <w:right w:w="180" w:type="dxa"/>
            </w:tcMar>
            <w:tcBorders>
              <w:top w:val="none"/>
              <w:left w:val="single" w:sz="28" w:space="0" w:color="9333EA"/>
              <w:bottom w:val="none"/>
              <w:right w:val="none"/>
            </w:tcBorders>
          </w:tcPr>
          <w:p>
            <w:pPr>
              <w:spacing w:before="40" w:after="40"/>
            </w:pPr>
            <w:r>
              <w:rPr>
                <w:rFonts w:ascii="Calibri" w:hAnsi="Calibri"/>
                <w:b/>
                <w:color w:val="6B21A8"/>
                <w:sz w:val="20"/>
              </w:rPr>
              <w:t>🎯 SIMULACRO DE DEFENSA: ¿QUÉ PASA SI EL PROFESOR PREGUNTA O MODIFICA CÓDIGO EN SEMANA 7?</w:t>
              <w:br/>
            </w:r>
            <w:r>
              <w:rPr>
                <w:rFonts w:ascii="Calibri" w:hAnsi="Calibri"/>
                <w:color w:val="1F2937"/>
                <w:sz w:val="19"/>
              </w:rPr>
              <w:t>• Pregunta: '¿Por qué representarlo como vector 2D y no con un objeto o diccionario?'</w:t>
              <w:br/>
              <w:t xml:space="preserve">  Respuesta: 'Porque los algoritmos de Machine Learning y optimización operan sobre álgebra lineal (matrices de diseño X). Un diccionario es una estructura de almacenamiento; un vector permite calcular distancias euclidianas, normas y productos punto para clasificar o agrupar.'</w:t>
              <w:br/>
              <w:br/>
              <w:t>• Modificación en vivo: Si el profesor cambia el vector a 3 dimensiones agregando Precio_Unitario: ¿qué cambia?</w:t>
              <w:br/>
              <w:t xml:space="preserve">  Respuesta: 'El espacio vectorial pasa a ser R^3. Las fronteras de decisión dejan de ser líneas rectas 2D y se convierten en hiperplanos bidimensionales en 3D. El StandardScaler debe escalar 3 columnas en vez de 2.'</w:t>
            </w:r>
          </w:p>
        </w:tc>
      </w:tr>
    </w:tbl>
    <w:p>
      <w:pPr>
        <w:spacing w:after="80"/>
      </w:pPr>
    </w:p>
    <w:p>
      <w:pPr>
        <w:keepNext/>
        <w:spacing w:before="360" w:after="120"/>
      </w:pPr>
      <w:r>
        <w:rPr>
          <w:rFonts w:ascii="Calibri" w:hAnsi="Calibri"/>
          <w:b/>
          <w:color w:val="0F172A"/>
          <w:sz w:val="32"/>
        </w:rPr>
        <w:t>3. Semana 08: Reconocimiento de Patrones y Machine Learning</w:t>
      </w:r>
    </w:p>
    <w:p>
      <w:pPr>
        <w:spacing w:before="40" w:after="80" w:line="276" w:lineRule="auto"/>
      </w:pPr>
      <w:r>
        <w:rPr>
          <w:rFonts w:ascii="Calibri" w:hAnsi="Calibri"/>
          <w:color w:val="334155"/>
          <w:sz w:val="20"/>
        </w:rPr>
        <w:t>En la Semana 8 se aplica aprendizaje supervisado para resolver la clasificación del inventario en tres clases operativas:</w:t>
      </w:r>
    </w:p>
    <w:p>
      <w:pPr>
        <w:spacing w:before="40" w:after="80" w:line="276" w:lineRule="auto"/>
      </w:pPr>
      <w:r>
        <w:rPr>
          <w:rFonts w:ascii="Calibri" w:hAnsi="Calibri"/>
          <w:color w:val="334155"/>
          <w:sz w:val="20"/>
        </w:rPr>
        <w:t>• Clase 0 (Crítico): Stock bajo (&lt;= 5) con baja permanencia (alta rotación). Requiere pedido urgente al proveedor.</w:t>
      </w:r>
    </w:p>
    <w:p>
      <w:pPr>
        <w:spacing w:before="40" w:after="80" w:line="276" w:lineRule="auto"/>
      </w:pPr>
      <w:r>
        <w:rPr>
          <w:rFonts w:ascii="Calibri" w:hAnsi="Calibri"/>
          <w:color w:val="334155"/>
          <w:sz w:val="20"/>
        </w:rPr>
        <w:t>• Clase 1 (Alerta): Stock medio o días sin rotación elevados (&gt; 60 días). Capital inmovilizado.</w:t>
      </w:r>
    </w:p>
    <w:p>
      <w:pPr>
        <w:spacing w:before="40" w:after="80" w:line="276" w:lineRule="auto"/>
      </w:pPr>
      <w:r>
        <w:rPr>
          <w:rFonts w:ascii="Calibri" w:hAnsi="Calibri"/>
          <w:color w:val="334155"/>
          <w:sz w:val="20"/>
        </w:rPr>
        <w:t>• Clase 2 (Óptimo): Stock balanceado y flujo constante.</w:t>
      </w:r>
    </w:p>
    <w:p>
      <w:pPr>
        <w:keepNext/>
        <w:spacing w:before="280" w:after="80"/>
      </w:pPr>
      <w:r>
        <w:rPr>
          <w:rFonts w:ascii="Calibri" w:hAnsi="Calibri"/>
          <w:b/>
          <w:color w:val="0284C7"/>
          <w:sz w:val="26"/>
        </w:rPr>
        <w:t>3.1 El Pipeline en Scikit-Learn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none"/>
              <w:left w:val="single" w:sz="24" w:space="0" w:color="0284C7"/>
              <w:bottom w:val="none"/>
              <w:right w:val="none"/>
            </w:tcBorders>
          </w:tcPr>
          <w:p>
            <w:pPr>
              <w:spacing w:before="40" w:after="40" w:line="252" w:lineRule="auto"/>
            </w:pPr>
            <w:r>
              <w:rPr>
                <w:rFonts w:ascii="Consolas" w:hAnsi="Consolas"/>
                <w:color w:val="0F172A"/>
                <w:sz w:val="17"/>
              </w:rPr>
              <w:t>from sklearn.linear_model import LogisticRegression</w:t>
              <w:br/>
              <w:t>from sklearn.preprocessing import StandardScaler</w:t>
              <w:br/>
              <w:t>from sklearn.pipeline import make_pipeline</w:t>
              <w:br/>
              <w:br/>
              <w:t># Pipeline formal</w:t>
              <w:br/>
              <w:t>modelo = make_pipeline(</w:t>
              <w:br/>
              <w:t xml:space="preserve">    StandardScaler(),</w:t>
              <w:br/>
              <w:t xml:space="preserve">    LogisticRegression(multi_class='multinomial', solver='lbfgs', random_state=42)</w:t>
              <w:br/>
              <w:t>)</w:t>
              <w:br/>
              <w:t>modelo.fit(X_train, y_train)</w:t>
              <w:br/>
              <w:t>y_pred = modelo.predict(X_test)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3E8FF"/>
            <w:tcMar>
              <w:top w:w="120" w:type="dxa"/>
              <w:bottom w:w="120" w:type="dxa"/>
              <w:left w:w="180" w:type="dxa"/>
              <w:right w:w="180" w:type="dxa"/>
            </w:tcMar>
            <w:tcBorders>
              <w:top w:val="none"/>
              <w:left w:val="single" w:sz="28" w:space="0" w:color="9333EA"/>
              <w:bottom w:val="none"/>
              <w:right w:val="none"/>
            </w:tcBorders>
          </w:tcPr>
          <w:p>
            <w:pPr>
              <w:spacing w:before="40" w:after="40"/>
            </w:pPr>
            <w:r>
              <w:rPr>
                <w:rFonts w:ascii="Calibri" w:hAnsi="Calibri"/>
                <w:b/>
                <w:color w:val="6B21A8"/>
                <w:sz w:val="20"/>
              </w:rPr>
              <w:t>🎯 SIMULACRO DE DEFENSA: MODIFICACIONES EN VIVO DE CÓDIGO (SEMANA 8)</w:t>
              <w:br/>
            </w:r>
            <w:r>
              <w:rPr>
                <w:rFonts w:ascii="Calibri" w:hAnsi="Calibri"/>
                <w:color w:val="1F2937"/>
                <w:sz w:val="19"/>
              </w:rPr>
              <w:t>• ¿Qué pasa si el profesor BORRA 'StandardScaler()'?</w:t>
              <w:br/>
              <w:t xml:space="preserve">  Respuesta: 'El modelo pierde convergencia o se sesga severamente. La variable Stock va de 0 a 50 unidades, mientras que Días sin Rotación va de 0 a 180 días. Sin estandarizar, la función de costo calcula gradientes dominados por la variable de mayor escala (Días), ralentizando el optimizador L-BFGS y degradando la frontera de decisión.'</w:t>
              <w:br/>
              <w:br/>
              <w:t>• ¿Por qué usar 'multi_class=multinomial' y no OvR (One-vs-Rest)?</w:t>
              <w:br/>
              <w:t xml:space="preserve">  Respuesta: 'Multinomial utiliza la función Softmax global, estimando una distribución de probabilidad coherente conjunta donde la suma de las tres clases es estrictamente 1.0, a diferencia de OvR que entrena 3 clasificadores binarios independientes.'</w:t>
              <w:br/>
              <w:br/>
              <w:t>• ¿Qué pasa si el profesor cambia 'test_size=0.2' por 'test_size=0.9'?</w:t>
              <w:br/>
              <w:t xml:space="preserve">  Respuesta: 'El conjunto de entrenamiento se reduce a un 10%, provocando sub-ajuste (underfitting) y alta varianza en la matriz de confusión, reduciendo el Accuracy drásticamente por falta de representatividad estadística.'</w:t>
            </w:r>
          </w:p>
        </w:tc>
      </w:tr>
    </w:tbl>
    <w:p>
      <w:pPr>
        <w:spacing w:after="80"/>
      </w:pPr>
    </w:p>
    <w:p>
      <w:pPr>
        <w:keepNext/>
        <w:spacing w:before="360" w:after="120"/>
      </w:pPr>
      <w:r>
        <w:rPr>
          <w:rFonts w:ascii="Calibri" w:hAnsi="Calibri"/>
          <w:b/>
          <w:color w:val="0F172A"/>
          <w:sz w:val="32"/>
        </w:rPr>
        <w:t>4. Semana 09: Visión Computacional I (Canny, Otsu y Regiones Conectadas)</w:t>
      </w:r>
    </w:p>
    <w:p>
      <w:pPr>
        <w:spacing w:before="40" w:after="80" w:line="276" w:lineRule="auto"/>
      </w:pPr>
      <w:r>
        <w:rPr>
          <w:rFonts w:ascii="Calibri" w:hAnsi="Calibri"/>
          <w:color w:val="334155"/>
          <w:sz w:val="20"/>
        </w:rPr>
        <w:t>Objetivo: Demostrar que un computador no 've' objetos, sino que debe procesar tensores de intensidad luminosa en etapas sucesivas.</w:t>
      </w:r>
    </w:p>
    <w:p>
      <w:pPr>
        <w:keepNext/>
        <w:spacing w:before="280" w:after="80"/>
      </w:pPr>
      <w:r>
        <w:rPr>
          <w:rFonts w:ascii="Calibri" w:hAnsi="Calibri"/>
          <w:b/>
          <w:color w:val="0284C7"/>
          <w:sz w:val="26"/>
        </w:rPr>
        <w:t>4.1 Detección de Bordes con Canny: El Papel Matemático de Sigma (σ)</w:t>
      </w:r>
    </w:p>
    <w:p>
      <w:pPr>
        <w:spacing w:before="40" w:after="80" w:line="276" w:lineRule="auto"/>
      </w:pPr>
      <w:r>
        <w:rPr>
          <w:rFonts w:ascii="Calibri" w:hAnsi="Calibri"/>
          <w:color w:val="334155"/>
          <w:sz w:val="20"/>
        </w:rPr>
        <w:t>El algoritmo de Canny comprende 4 fases:</w:t>
      </w:r>
    </w:p>
    <w:p>
      <w:pPr>
        <w:spacing w:before="40" w:after="80" w:line="276" w:lineRule="auto"/>
      </w:pPr>
      <w:r>
        <w:rPr>
          <w:rFonts w:ascii="Calibri" w:hAnsi="Calibri"/>
          <w:color w:val="334155"/>
          <w:sz w:val="20"/>
        </w:rPr>
        <w:t>1. Suavizado Gaussiano: Convolución con núcleo G(x, y; σ) para atenuar ruido de alta frecuencia.</w:t>
      </w:r>
    </w:p>
    <w:p>
      <w:pPr>
        <w:spacing w:before="40" w:after="80" w:line="276" w:lineRule="auto"/>
      </w:pPr>
      <w:r>
        <w:rPr>
          <w:rFonts w:ascii="Calibri" w:hAnsi="Calibri"/>
          <w:color w:val="334155"/>
          <w:sz w:val="20"/>
        </w:rPr>
        <w:t>2. Gradientes de Intensidad: Magnitud |G| = sqrt(Gx^2 + Gy^2) y dirección θ = arctan(Gy / Gx).</w:t>
      </w:r>
    </w:p>
    <w:p>
      <w:pPr>
        <w:spacing w:before="40" w:after="80" w:line="276" w:lineRule="auto"/>
      </w:pPr>
      <w:r>
        <w:rPr>
          <w:rFonts w:ascii="Calibri" w:hAnsi="Calibri"/>
          <w:color w:val="334155"/>
          <w:sz w:val="20"/>
        </w:rPr>
        <w:t>3. Supresión de No-Máximos: Adelgaza las crestas de gradiente a 1 píxel de espesor.</w:t>
      </w:r>
    </w:p>
    <w:p>
      <w:pPr>
        <w:spacing w:before="40" w:after="80" w:line="276" w:lineRule="auto"/>
      </w:pPr>
      <w:r>
        <w:rPr>
          <w:rFonts w:ascii="Calibri" w:hAnsi="Calibri"/>
          <w:color w:val="334155"/>
          <w:sz w:val="20"/>
        </w:rPr>
        <w:t>4. Umbralización por Histéresis: Conecta bordes fuertes con bordes débiles válidos.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293B"/>
            <w:tcMar>
              <w:top w:w="90" w:type="dxa"/>
              <w:bottom w:w="90" w:type="dxa"/>
              <w:left w:w="110" w:type="dxa"/>
              <w:right w:w="110" w:type="dxa"/>
            </w:tcMar>
          </w:tcPr>
          <w:p>
            <w:pPr>
              <w:spacing w:before="40" w:after="40"/>
              <w:jc w:val="center"/>
            </w:pPr>
            <w:r>
              <w:rPr>
                <w:rFonts w:ascii="Calibri" w:hAnsi="Calibri"/>
                <w:b/>
                <w:color w:val="FFFFFF"/>
                <w:sz w:val="19"/>
              </w:rPr>
              <w:t>Valor de Sigma (σ)</w:t>
            </w:r>
          </w:p>
        </w:tc>
        <w:tc>
          <w:tcPr>
            <w:tcW w:type="dxa" w:w="2880"/>
            <w:shd w:fill="1E293B"/>
            <w:tcMar>
              <w:top w:w="90" w:type="dxa"/>
              <w:bottom w:w="90" w:type="dxa"/>
              <w:left w:w="110" w:type="dxa"/>
              <w:right w:w="110" w:type="dxa"/>
            </w:tcMar>
          </w:tcPr>
          <w:p>
            <w:pPr>
              <w:spacing w:before="40" w:after="40"/>
              <w:jc w:val="center"/>
            </w:pPr>
            <w:r>
              <w:rPr>
                <w:rFonts w:ascii="Calibri" w:hAnsi="Calibri"/>
                <w:b/>
                <w:color w:val="FFFFFF"/>
                <w:sz w:val="19"/>
              </w:rPr>
              <w:t>Píxeles de Borde Detectados</w:t>
            </w:r>
          </w:p>
        </w:tc>
        <w:tc>
          <w:tcPr>
            <w:tcW w:type="dxa" w:w="4320"/>
            <w:shd w:fill="1E293B"/>
            <w:tcMar>
              <w:top w:w="90" w:type="dxa"/>
              <w:bottom w:w="90" w:type="dxa"/>
              <w:left w:w="110" w:type="dxa"/>
              <w:right w:w="110" w:type="dxa"/>
            </w:tcMar>
          </w:tcPr>
          <w:p>
            <w:pPr>
              <w:spacing w:before="40" w:after="40"/>
              <w:jc w:val="center"/>
            </w:pPr>
            <w:r>
              <w:rPr>
                <w:rFonts w:ascii="Calibri" w:hAnsi="Calibri"/>
                <w:b/>
                <w:color w:val="FFFFFF"/>
                <w:sz w:val="19"/>
              </w:rPr>
              <w:t>Efecto Físico en la Pieza (Bujía)</w:t>
            </w:r>
          </w:p>
        </w:tc>
      </w:tr>
      <w:tr>
        <w:tc>
          <w:tcPr>
            <w:tcW w:type="dxa" w:w="2160"/>
            <w:shd w:fill="FFFFFF"/>
            <w:tcMar>
              <w:top w:w="70" w:type="dxa"/>
              <w:bottom w:w="70" w:type="dxa"/>
              <w:left w:w="100" w:type="dxa"/>
              <w:right w:w="100" w:type="dxa"/>
            </w:tcMar>
          </w:tcPr>
          <w:p>
            <w:pPr>
              <w:spacing w:before="20" w:after="20"/>
            </w:pPr>
            <w:r>
              <w:rPr>
                <w:rFonts w:ascii="Calibri" w:hAnsi="Calibri"/>
                <w:color w:val="334155"/>
                <w:sz w:val="18"/>
              </w:rPr>
              <w:t>σ = 1.0</w:t>
            </w:r>
          </w:p>
        </w:tc>
        <w:tc>
          <w:tcPr>
            <w:tcW w:type="dxa" w:w="2880"/>
            <w:shd w:fill="FFFFFF"/>
            <w:tcMar>
              <w:top w:w="70" w:type="dxa"/>
              <w:bottom w:w="70" w:type="dxa"/>
              <w:left w:w="100" w:type="dxa"/>
              <w:right w:w="100" w:type="dxa"/>
            </w:tcMar>
          </w:tcPr>
          <w:p>
            <w:pPr>
              <w:spacing w:before="20" w:after="20"/>
            </w:pPr>
            <w:r>
              <w:rPr>
                <w:rFonts w:ascii="Calibri" w:hAnsi="Calibri"/>
                <w:color w:val="334155"/>
                <w:sz w:val="18"/>
              </w:rPr>
              <w:t>4,551 px (2.28%)</w:t>
            </w:r>
          </w:p>
        </w:tc>
        <w:tc>
          <w:tcPr>
            <w:tcW w:type="dxa" w:w="4320"/>
            <w:shd w:fill="FFFFFF"/>
            <w:tcMar>
              <w:top w:w="70" w:type="dxa"/>
              <w:bottom w:w="70" w:type="dxa"/>
              <w:left w:w="100" w:type="dxa"/>
              <w:right w:w="100" w:type="dxa"/>
            </w:tcMar>
          </w:tcPr>
          <w:p>
            <w:pPr>
              <w:spacing w:before="20" w:after="20"/>
            </w:pPr>
            <w:r>
              <w:rPr>
                <w:rFonts w:ascii="Calibri" w:hAnsi="Calibri"/>
                <w:color w:val="334155"/>
                <w:sz w:val="18"/>
              </w:rPr>
              <w:t>Alta sensibilidad: detecta rosca metálica, hexágono, relieves del aislante y micro-sombras.</w:t>
            </w:r>
          </w:p>
        </w:tc>
      </w:tr>
      <w:tr>
        <w:tc>
          <w:tcPr>
            <w:tcW w:type="dxa" w:w="2160"/>
            <w:shd w:fill="F8FAFC"/>
            <w:tcMar>
              <w:top w:w="70" w:type="dxa"/>
              <w:bottom w:w="70" w:type="dxa"/>
              <w:left w:w="100" w:type="dxa"/>
              <w:right w:w="100" w:type="dxa"/>
            </w:tcMar>
          </w:tcPr>
          <w:p>
            <w:pPr>
              <w:spacing w:before="20" w:after="20"/>
            </w:pPr>
            <w:r>
              <w:rPr>
                <w:rFonts w:ascii="Calibri" w:hAnsi="Calibri"/>
                <w:color w:val="334155"/>
                <w:sz w:val="18"/>
              </w:rPr>
              <w:t>σ = 2.0 (Óptimo)</w:t>
            </w:r>
          </w:p>
        </w:tc>
        <w:tc>
          <w:tcPr>
            <w:tcW w:type="dxa" w:w="2880"/>
            <w:shd w:fill="F8FAFC"/>
            <w:tcMar>
              <w:top w:w="70" w:type="dxa"/>
              <w:bottom w:w="70" w:type="dxa"/>
              <w:left w:w="100" w:type="dxa"/>
              <w:right w:w="100" w:type="dxa"/>
            </w:tcMar>
          </w:tcPr>
          <w:p>
            <w:pPr>
              <w:spacing w:before="20" w:after="20"/>
            </w:pPr>
            <w:r>
              <w:rPr>
                <w:rFonts w:ascii="Calibri" w:hAnsi="Calibri"/>
                <w:color w:val="334155"/>
                <w:sz w:val="18"/>
              </w:rPr>
              <w:t>3,041 px (1.52%)</w:t>
            </w:r>
          </w:p>
        </w:tc>
        <w:tc>
          <w:tcPr>
            <w:tcW w:type="dxa" w:w="4320"/>
            <w:shd w:fill="F8FAFC"/>
            <w:tcMar>
              <w:top w:w="70" w:type="dxa"/>
              <w:bottom w:w="70" w:type="dxa"/>
              <w:left w:w="100" w:type="dxa"/>
              <w:right w:w="100" w:type="dxa"/>
            </w:tcMar>
          </w:tcPr>
          <w:p>
            <w:pPr>
              <w:spacing w:before="20" w:after="20"/>
            </w:pPr>
            <w:r>
              <w:rPr>
                <w:rFonts w:ascii="Calibri" w:hAnsi="Calibri"/>
                <w:color w:val="334155"/>
                <w:sz w:val="18"/>
              </w:rPr>
              <w:t>Filtro balanceado: suprime ruido superficial de porcelana y resalta límites estructurales.</w:t>
            </w:r>
          </w:p>
        </w:tc>
      </w:tr>
      <w:tr>
        <w:tc>
          <w:tcPr>
            <w:tcW w:type="dxa" w:w="2160"/>
            <w:shd w:fill="FFFFFF"/>
            <w:tcMar>
              <w:top w:w="70" w:type="dxa"/>
              <w:bottom w:w="70" w:type="dxa"/>
              <w:left w:w="100" w:type="dxa"/>
              <w:right w:w="100" w:type="dxa"/>
            </w:tcMar>
          </w:tcPr>
          <w:p>
            <w:pPr>
              <w:spacing w:before="20" w:after="20"/>
            </w:pPr>
            <w:r>
              <w:rPr>
                <w:rFonts w:ascii="Calibri" w:hAnsi="Calibri"/>
                <w:color w:val="334155"/>
                <w:sz w:val="18"/>
              </w:rPr>
              <w:t>σ = 3.0</w:t>
            </w:r>
          </w:p>
        </w:tc>
        <w:tc>
          <w:tcPr>
            <w:tcW w:type="dxa" w:w="2880"/>
            <w:shd w:fill="FFFFFF"/>
            <w:tcMar>
              <w:top w:w="70" w:type="dxa"/>
              <w:bottom w:w="70" w:type="dxa"/>
              <w:left w:w="100" w:type="dxa"/>
              <w:right w:w="100" w:type="dxa"/>
            </w:tcMar>
          </w:tcPr>
          <w:p>
            <w:pPr>
              <w:spacing w:before="20" w:after="20"/>
            </w:pPr>
            <w:r>
              <w:rPr>
                <w:rFonts w:ascii="Calibri" w:hAnsi="Calibri"/>
                <w:color w:val="334155"/>
                <w:sz w:val="18"/>
              </w:rPr>
              <w:t>1,912 px (0.96%)</w:t>
            </w:r>
          </w:p>
        </w:tc>
        <w:tc>
          <w:tcPr>
            <w:tcW w:type="dxa" w:w="4320"/>
            <w:shd w:fill="FFFFFF"/>
            <w:tcMar>
              <w:top w:w="70" w:type="dxa"/>
              <w:bottom w:w="70" w:type="dxa"/>
              <w:left w:w="100" w:type="dxa"/>
              <w:right w:w="100" w:type="dxa"/>
            </w:tcMar>
          </w:tcPr>
          <w:p>
            <w:pPr>
              <w:spacing w:before="20" w:after="20"/>
            </w:pPr>
            <w:r>
              <w:rPr>
                <w:rFonts w:ascii="Calibri" w:hAnsi="Calibri"/>
                <w:color w:val="334155"/>
                <w:sz w:val="18"/>
              </w:rPr>
              <w:t>Suavizado severo: pierde el detalle fino de la rosca del electrodo; solo conserva la silueta exterior.</w:t>
            </w:r>
          </w:p>
        </w:tc>
      </w:tr>
    </w:tbl>
    <w:p>
      <w:pPr>
        <w:spacing w:after="120"/>
      </w:pPr>
    </w:p>
    <w:p>
      <w:pPr>
        <w:keepNext/>
        <w:spacing w:before="280" w:after="80"/>
      </w:pPr>
      <w:r>
        <w:rPr>
          <w:rFonts w:ascii="Calibri" w:hAnsi="Calibri"/>
          <w:b/>
          <w:color w:val="0284C7"/>
          <w:sz w:val="26"/>
        </w:rPr>
        <w:t>4.2 Segmentación con Umbral de Otsu</w:t>
      </w:r>
    </w:p>
    <w:p>
      <w:pPr>
        <w:spacing w:before="40" w:after="80" w:line="276" w:lineRule="auto"/>
      </w:pPr>
      <w:r>
        <w:rPr>
          <w:rFonts w:ascii="Calibri" w:hAnsi="Calibri"/>
          <w:color w:val="334155"/>
          <w:sz w:val="20"/>
        </w:rPr>
        <w:t>Otsu calcula de forma analítica el umbral T* que maximiza la varianza inter-clase sigma_B^2(T):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none"/>
              <w:left w:val="single" w:sz="24" w:space="0" w:color="0284C7"/>
              <w:bottom w:val="none"/>
              <w:right w:val="none"/>
            </w:tcBorders>
          </w:tcPr>
          <w:p>
            <w:pPr>
              <w:spacing w:before="40" w:after="40" w:line="252" w:lineRule="auto"/>
            </w:pPr>
            <w:r>
              <w:rPr>
                <w:rFonts w:ascii="Consolas" w:hAnsi="Consolas"/>
                <w:color w:val="0F172A"/>
                <w:sz w:val="17"/>
              </w:rPr>
              <w:t>sigma_B^2(T) = w_0(T) * w_1(T) * [mu_0(T) - mu_1(T)]^2</w:t>
            </w:r>
          </w:p>
        </w:tc>
      </w:tr>
    </w:tbl>
    <w:p>
      <w:pPr>
        <w:spacing w:after="80"/>
      </w:pPr>
    </w:p>
    <w:p>
      <w:pPr>
        <w:spacing w:before="40" w:after="80" w:line="276" w:lineRule="auto"/>
      </w:pPr>
      <w:r>
        <w:rPr>
          <w:rFonts w:ascii="Calibri" w:hAnsi="Calibri"/>
          <w:color w:val="334155"/>
          <w:sz w:val="20"/>
        </w:rPr>
        <w:t>Para nuestra imagen 'foto_bujia.jpg' (data/imagen_proyecto.png):</w:t>
      </w:r>
    </w:p>
    <w:p>
      <w:pPr>
        <w:spacing w:before="40" w:after="80" w:line="276" w:lineRule="auto"/>
      </w:pPr>
      <w:r>
        <w:rPr>
          <w:rFonts w:ascii="Calibri" w:hAnsi="Calibri"/>
          <w:color w:val="334155"/>
          <w:sz w:val="20"/>
        </w:rPr>
        <w:t>• Umbral calculado: T* = 191 (en escala [0, 255]) o 0.7480 (float normalizado).</w:t>
      </w:r>
    </w:p>
    <w:p>
      <w:pPr>
        <w:spacing w:before="40" w:after="80" w:line="276" w:lineRule="auto"/>
      </w:pPr>
      <w:r>
        <w:rPr>
          <w:rFonts w:ascii="Calibri" w:hAnsi="Calibri"/>
          <w:color w:val="334155"/>
          <w:sz w:val="20"/>
        </w:rPr>
        <w:t>• Máscara Binaria del Repuesto: mascara = img_gray &lt; umbral_otsu (El repuesto absorbe luz y es más oscuro que el fondo iluminado).</w:t>
      </w:r>
    </w:p>
    <w:p>
      <w:pPr>
        <w:spacing w:before="40" w:after="80" w:line="276" w:lineRule="auto"/>
      </w:pPr>
      <w:r>
        <w:rPr>
          <w:rFonts w:ascii="Calibri" w:hAnsi="Calibri"/>
          <w:color w:val="334155"/>
          <w:sz w:val="20"/>
        </w:rPr>
        <w:t>• Ocupación de la pieza: 13,669 píxeles (6.84% del encuadre).</w:t>
      </w:r>
    </w:p>
    <w:tbl>
      <w:tblPr>
        <w:tblW w:type="auto" w:w="0"/>
        <w:jc w:val="center"/>
        <w:tblLayout w:type="fixed"/>
        <w:tblLook w:firstColumn="1" w:firstRow="1" w:lastColumn="0" w:lastRow="0" w:noHBand="0" w:noVBand="1" w:val="04A0"/>
      </w:tblPr>
      <w:tblGrid>
        <w:gridCol w:w="9360"/>
      </w:tblGrid>
      <w:tr>
        <w:tc>
          <w:tcPr>
            <w:tcW w:type="dxa" w:w="9360"/>
            <w:shd w:fill="F3E8FF"/>
            <w:tcMar>
              <w:top w:w="120" w:type="dxa"/>
              <w:bottom w:w="120" w:type="dxa"/>
              <w:left w:w="180" w:type="dxa"/>
              <w:right w:w="180" w:type="dxa"/>
            </w:tcMar>
            <w:tcBorders>
              <w:top w:val="none"/>
              <w:left w:val="single" w:sz="28" w:space="0" w:color="9333EA"/>
              <w:bottom w:val="none"/>
              <w:right w:val="none"/>
            </w:tcBorders>
          </w:tcPr>
          <w:p>
            <w:pPr>
              <w:spacing w:before="40" w:after="40"/>
            </w:pPr>
            <w:r>
              <w:rPr>
                <w:rFonts w:ascii="Calibri" w:hAnsi="Calibri"/>
                <w:b/>
                <w:color w:val="6B21A8"/>
                <w:sz w:val="20"/>
              </w:rPr>
              <w:t>🎯 SIMULACRO DE DEFENSA: MODIFICACIONES EN VIVO DE CÓDIGO (SEMANA 9)</w:t>
              <w:br/>
            </w:r>
            <w:r>
              <w:rPr>
                <w:rFonts w:ascii="Calibri" w:hAnsi="Calibri"/>
                <w:color w:val="1F2937"/>
                <w:sz w:val="19"/>
              </w:rPr>
              <w:t>• ¿Qué pasa si el profesor cambia 'img_gray &lt; umbral_otsu' por 'img_gray &gt; umbral_otsu'?</w:t>
              <w:br/>
              <w:t xml:space="preserve">  Respuesta: 'Invertiría la polaridad de la máscara. En lugar de segmentar la bujía (primer plano oscuro), segmentaría la mesa de trabajo (fondo blanco). La cobertura pasaría de 6.84% a 93.16%, y las regiones conexas representarían el fondo en lugar de la pieza mecánica.'</w:t>
              <w:br/>
              <w:br/>
              <w:t>• ¿Por qué en Canny la cantidad de píxeles disminuye cuando sigma aumenta de 1 a 3?</w:t>
              <w:br/>
              <w:t xml:space="preserve">  Respuesta: 'Porque sigma es la desviación estándar de la campana Gaussiana. A mayor sigma, el núcleo de convolución es más amplio espacialmente, lo que difumina y suaviza gradientes sutiles. Solo los contrastes con transiciones muy marcadas superan los umbrales de histéresis.'</w:t>
            </w:r>
          </w:p>
        </w:tc>
      </w:tr>
    </w:tbl>
    <w:p>
      <w:pPr>
        <w:spacing w:after="80"/>
      </w:pPr>
    </w:p>
    <w:p>
      <w:pPr>
        <w:keepNext/>
        <w:spacing w:before="360" w:after="120"/>
      </w:pPr>
      <w:r>
        <w:rPr>
          <w:rFonts w:ascii="Calibri" w:hAnsi="Calibri"/>
          <w:b/>
          <w:color w:val="0F172A"/>
          <w:sz w:val="32"/>
        </w:rPr>
        <w:t>5. Semana 10: Visión Computacional II (Histogramas, Regiones y Texturas LBP)</w:t>
      </w:r>
    </w:p>
    <w:p>
      <w:pPr>
        <w:spacing w:before="40" w:after="80" w:line="276" w:lineRule="auto"/>
      </w:pPr>
      <w:r>
        <w:rPr>
          <w:rFonts w:ascii="Calibri" w:hAnsi="Calibri"/>
          <w:color w:val="334155"/>
          <w:sz w:val="20"/>
        </w:rPr>
        <w:t>Esta semana representa la cúspide analítica: transformar imágenes en vectores numéricos compactos para clasificación automática.</w:t>
      </w:r>
    </w:p>
    <w:p>
      <w:pPr>
        <w:keepNext/>
        <w:spacing w:before="280" w:after="80"/>
      </w:pPr>
      <w:r>
        <w:rPr>
          <w:rFonts w:ascii="Calibri" w:hAnsi="Calibri"/>
          <w:b/>
          <w:color w:val="0284C7"/>
          <w:sz w:val="26"/>
        </w:rPr>
        <w:t>5.1 Histograma de Intensidad (32 Bins)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none"/>
              <w:left w:val="single" w:sz="24" w:space="0" w:color="0284C7"/>
              <w:bottom w:val="none"/>
              <w:right w:val="none"/>
            </w:tcBorders>
          </w:tcPr>
          <w:p>
            <w:pPr>
              <w:spacing w:before="40" w:after="40" w:line="252" w:lineRule="auto"/>
            </w:pPr>
            <w:r>
              <w:rPr>
                <w:rFonts w:ascii="Consolas" w:hAnsi="Consolas"/>
                <w:color w:val="0F172A"/>
                <w:sz w:val="17"/>
              </w:rPr>
              <w:t>hist_int, _ = np.histogram(img_gray.ravel(), bins=32, range=(0, 256), density=True)</w:t>
            </w:r>
          </w:p>
        </w:tc>
      </w:tr>
    </w:tbl>
    <w:p>
      <w:pPr>
        <w:spacing w:after="80"/>
      </w:pPr>
    </w:p>
    <w:p>
      <w:pPr>
        <w:spacing w:before="40" w:after="80" w:line="276" w:lineRule="auto"/>
      </w:pPr>
      <w:r>
        <w:rPr>
          <w:rFonts w:ascii="Calibri" w:hAnsi="Calibri"/>
          <w:color w:val="334155"/>
          <w:sz w:val="20"/>
        </w:rPr>
        <w:t>• ¿Por qué 32 bins y no 256? Reducir dimensionalidad. 256 bins generan vectores hiper-dispersos con sobreajuste; 32 bins agrupan la intensidad en intervalos de 8 niveles (256/32 = 8), conservando la forma de la distribución fotométrica de la pieza.</w:t>
      </w:r>
    </w:p>
    <w:p>
      <w:pPr>
        <w:spacing w:before="40" w:after="80" w:line="276" w:lineRule="auto"/>
      </w:pPr>
      <w:r>
        <w:rPr>
          <w:rFonts w:ascii="Calibri" w:hAnsi="Calibri"/>
          <w:color w:val="334155"/>
          <w:sz w:val="20"/>
        </w:rPr>
        <w:t>• ¿Por qué density=True? Normaliza el histograma para que la suma del área sea 1.0 (densidad de probabilidad). Esto hace que el descriptor sea invariante a si la cámara tiene una resolución de 500x500 o de 2000x2000.</w:t>
      </w:r>
    </w:p>
    <w:p>
      <w:pPr>
        <w:keepNext/>
        <w:spacing w:before="280" w:after="80"/>
      </w:pPr>
      <w:r>
        <w:rPr>
          <w:rFonts w:ascii="Calibri" w:hAnsi="Calibri"/>
          <w:b/>
          <w:color w:val="0284C7"/>
          <w:sz w:val="26"/>
        </w:rPr>
        <w:t>5.2 Etiquetado en 8-Conectividad y Filtro de Área Mínima</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none"/>
              <w:left w:val="single" w:sz="24" w:space="0" w:color="0284C7"/>
              <w:bottom w:val="none"/>
              <w:right w:val="none"/>
            </w:tcBorders>
          </w:tcPr>
          <w:p>
            <w:pPr>
              <w:spacing w:before="40" w:after="40" w:line="252" w:lineRule="auto"/>
            </w:pPr>
            <w:r>
              <w:rPr>
                <w:rFonts w:ascii="Consolas" w:hAnsi="Consolas"/>
                <w:color w:val="0F172A"/>
                <w:sz w:val="17"/>
              </w:rPr>
              <w:t># Etiquetado en 8-conectividad</w:t>
              <w:br/>
              <w:t>struct_8 = np.ones((3, 3), dtype=int)</w:t>
              <w:br/>
              <w:t>lbl, num_crudas = ndi.label(mascara_binaria, structure=struct_8)</w:t>
              <w:br/>
              <w:t>props = regionprops(lbl)</w:t>
              <w:br/>
              <w:br/>
              <w:t># Filtro morfológico de áreas pequeñas</w:t>
              <w:br/>
              <w:t>props_filtradas = [r for r in props if r.area &gt;= 50]</w:t>
              <w:br/>
              <w:t>num_filtradas = len(props_filtradas)</w:t>
            </w:r>
          </w:p>
        </w:tc>
      </w:tr>
    </w:tbl>
    <w:p>
      <w:pPr>
        <w:spacing w:after="80"/>
      </w:pPr>
    </w:p>
    <w:p>
      <w:pPr>
        <w:spacing w:before="40" w:after="80" w:line="276" w:lineRule="auto"/>
      </w:pPr>
      <w:r>
        <w:rPr>
          <w:rFonts w:ascii="Calibri" w:hAnsi="Calibri"/>
          <w:color w:val="334155"/>
          <w:sz w:val="20"/>
        </w:rPr>
        <w:t>• 8-conectividad: Dos píxeles True pertenecen a la misma región si comparten lados o esquinas diagonales (matriz 3x3 de unos). En 4-conectividad (cruz), las esquinas diagonales se parten en regiones separadas.</w:t>
      </w:r>
    </w:p>
    <w:p>
      <w:pPr>
        <w:spacing w:before="40" w:after="80" w:line="276" w:lineRule="auto"/>
      </w:pPr>
      <w:r>
        <w:rPr>
          <w:rFonts w:ascii="Calibri" w:hAnsi="Calibri"/>
          <w:color w:val="334155"/>
          <w:sz w:val="20"/>
        </w:rPr>
        <w:t>• Filtro Area &gt;= 50 px: Elimina ruido impulsivo ('sal y pimienta'), virutas metálicas en la mesa y sombras menores, aislando únicamente los componentes estructurales de la pieza.</w:t>
      </w:r>
    </w:p>
    <w:p>
      <w:pPr>
        <w:keepNext/>
        <w:spacing w:before="280" w:after="80"/>
      </w:pPr>
      <w:r>
        <w:rPr>
          <w:rFonts w:ascii="Calibri" w:hAnsi="Calibri"/>
          <w:b/>
          <w:color w:val="0284C7"/>
          <w:sz w:val="26"/>
        </w:rPr>
        <w:t>5.3 Patrón Binario Local (LBP) con Método Uniforme</w:t>
      </w:r>
    </w:p>
    <w:p>
      <w:pPr>
        <w:spacing w:before="40" w:after="80" w:line="276" w:lineRule="auto"/>
      </w:pPr>
      <w:r>
        <w:rPr>
          <w:rFonts w:ascii="Calibri" w:hAnsi="Calibri"/>
          <w:color w:val="334155"/>
          <w:sz w:val="20"/>
        </w:rPr>
        <w:t>El operador LBP circular compara la intensidad del píxel central con P=8 vecinos a radio R=1:</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none"/>
              <w:left w:val="single" w:sz="24" w:space="0" w:color="0284C7"/>
              <w:bottom w:val="none"/>
              <w:right w:val="none"/>
            </w:tcBorders>
          </w:tcPr>
          <w:p>
            <w:pPr>
              <w:spacing w:before="40" w:after="40" w:line="252" w:lineRule="auto"/>
            </w:pPr>
            <w:r>
              <w:rPr>
                <w:rFonts w:ascii="Consolas" w:hAnsi="Consolas"/>
                <w:color w:val="0F172A"/>
                <w:sz w:val="17"/>
              </w:rPr>
              <w:t>LBP(x_c, y_c) = sum_{p=0}^{7} s(i_p - i_c) * 2^p,  donde s(u) = 1 si u &gt;= 0 else 0</w:t>
            </w:r>
          </w:p>
        </w:tc>
      </w:tr>
    </w:tbl>
    <w:p>
      <w:pPr>
        <w:spacing w:after="80"/>
      </w:pPr>
    </w:p>
    <w:p>
      <w:pPr>
        <w:spacing w:before="40" w:after="80" w:line="276" w:lineRule="auto"/>
      </w:pPr>
      <w:r>
        <w:rPr>
          <w:rFonts w:ascii="Calibri" w:hAnsi="Calibri"/>
          <w:color w:val="334155"/>
          <w:sz w:val="20"/>
        </w:rPr>
        <w:t>• ¿Por qué método 'uniform'? Un patrón se denomina uniforme si tiene a lo más 2 transiciones binarias (0-&gt;1 o 1-&gt;0) en su recorrido circular. Ej: 00000000 (0 transiciones), 00111100 (2 transiciones).</w:t>
      </w:r>
    </w:p>
    <w:p>
      <w:pPr>
        <w:spacing w:before="40" w:after="80" w:line="276" w:lineRule="auto"/>
      </w:pPr>
      <w:r>
        <w:rPr>
          <w:rFonts w:ascii="Calibri" w:hAnsi="Calibri"/>
          <w:color w:val="334155"/>
          <w:sz w:val="20"/>
        </w:rPr>
        <w:t>• ¿Por qué da exactamente 10 bins?:</w:t>
      </w:r>
    </w:p>
    <w:p>
      <w:pPr>
        <w:spacing w:before="40" w:after="80" w:line="276" w:lineRule="auto"/>
      </w:pPr>
      <w:r>
        <w:rPr>
          <w:rFonts w:ascii="Calibri" w:hAnsi="Calibri"/>
          <w:color w:val="334155"/>
          <w:sz w:val="20"/>
        </w:rPr>
        <w:t xml:space="preserve">  Para P=8 vecinos, existen P*(P-1) + 2 = 58 patrones uniformes posibles. Scikit-image agrupa estos patrones uniformes en P+1 = 9 categorías según la cantidad de unos (micro-bordes, esquinas y planos). Todos los demás patrones no uniformes (ruido de alta frecuencia y texturas complejas) se asignan al bin 9 (el 10mo bin). Total: P + 2 = 10 bins.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E293B"/>
            <w:tcMar>
              <w:top w:w="90" w:type="dxa"/>
              <w:bottom w:w="90" w:type="dxa"/>
              <w:left w:w="110" w:type="dxa"/>
              <w:right w:w="110" w:type="dxa"/>
            </w:tcMar>
          </w:tcPr>
          <w:p>
            <w:pPr>
              <w:spacing w:before="40" w:after="40"/>
              <w:jc w:val="center"/>
            </w:pPr>
            <w:r>
              <w:rPr>
                <w:rFonts w:ascii="Calibri" w:hAnsi="Calibri"/>
                <w:b/>
                <w:color w:val="FFFFFF"/>
                <w:sz w:val="19"/>
              </w:rPr>
              <w:t>Bin LBP</w:t>
            </w:r>
          </w:p>
        </w:tc>
        <w:tc>
          <w:tcPr>
            <w:tcW w:type="dxa" w:w="2592"/>
            <w:shd w:fill="1E293B"/>
            <w:tcMar>
              <w:top w:w="90" w:type="dxa"/>
              <w:bottom w:w="90" w:type="dxa"/>
              <w:left w:w="110" w:type="dxa"/>
              <w:right w:w="110" w:type="dxa"/>
            </w:tcMar>
          </w:tcPr>
          <w:p>
            <w:pPr>
              <w:spacing w:before="40" w:after="40"/>
              <w:jc w:val="center"/>
            </w:pPr>
            <w:r>
              <w:rPr>
                <w:rFonts w:ascii="Calibri" w:hAnsi="Calibri"/>
                <w:b/>
                <w:color w:val="FFFFFF"/>
                <w:sz w:val="19"/>
              </w:rPr>
              <w:t>Tipo de Estructura</w:t>
            </w:r>
          </w:p>
        </w:tc>
        <w:tc>
          <w:tcPr>
            <w:tcW w:type="dxa" w:w="5040"/>
            <w:shd w:fill="1E293B"/>
            <w:tcMar>
              <w:top w:w="90" w:type="dxa"/>
              <w:bottom w:w="90" w:type="dxa"/>
              <w:left w:w="110" w:type="dxa"/>
              <w:right w:w="110" w:type="dxa"/>
            </w:tcMar>
          </w:tcPr>
          <w:p>
            <w:pPr>
              <w:spacing w:before="40" w:after="40"/>
              <w:jc w:val="center"/>
            </w:pPr>
            <w:r>
              <w:rPr>
                <w:rFonts w:ascii="Calibri" w:hAnsi="Calibri"/>
                <w:b/>
                <w:color w:val="FFFFFF"/>
                <w:sz w:val="19"/>
              </w:rPr>
              <w:t>Significado Físico en la Pieza Mecánica</w:t>
            </w:r>
          </w:p>
        </w:tc>
      </w:tr>
      <w:tr>
        <w:tc>
          <w:tcPr>
            <w:tcW w:type="dxa" w:w="1728"/>
            <w:shd w:fill="FFFFFF"/>
            <w:tcMar>
              <w:top w:w="70" w:type="dxa"/>
              <w:bottom w:w="70" w:type="dxa"/>
              <w:left w:w="100" w:type="dxa"/>
              <w:right w:w="100" w:type="dxa"/>
            </w:tcMar>
          </w:tcPr>
          <w:p>
            <w:pPr>
              <w:spacing w:before="20" w:after="20"/>
            </w:pPr>
            <w:r>
              <w:rPr>
                <w:rFonts w:ascii="Calibri" w:hAnsi="Calibri"/>
                <w:color w:val="334155"/>
                <w:sz w:val="18"/>
              </w:rPr>
              <w:t>Bins 0 a 7</w:t>
            </w:r>
          </w:p>
        </w:tc>
        <w:tc>
          <w:tcPr>
            <w:tcW w:type="dxa" w:w="2592"/>
            <w:shd w:fill="FFFFFF"/>
            <w:tcMar>
              <w:top w:w="70" w:type="dxa"/>
              <w:bottom w:w="70" w:type="dxa"/>
              <w:left w:w="100" w:type="dxa"/>
              <w:right w:w="100" w:type="dxa"/>
            </w:tcMar>
          </w:tcPr>
          <w:p>
            <w:pPr>
              <w:spacing w:before="20" w:after="20"/>
            </w:pPr>
            <w:r>
              <w:rPr>
                <w:rFonts w:ascii="Calibri" w:hAnsi="Calibri"/>
                <w:color w:val="334155"/>
                <w:sz w:val="18"/>
              </w:rPr>
              <w:t>Micro-bordes y esquinas</w:t>
            </w:r>
          </w:p>
        </w:tc>
        <w:tc>
          <w:tcPr>
            <w:tcW w:type="dxa" w:w="5040"/>
            <w:shd w:fill="FFFFFF"/>
            <w:tcMar>
              <w:top w:w="70" w:type="dxa"/>
              <w:bottom w:w="70" w:type="dxa"/>
              <w:left w:w="100" w:type="dxa"/>
              <w:right w:w="100" w:type="dxa"/>
            </w:tcMar>
          </w:tcPr>
          <w:p>
            <w:pPr>
              <w:spacing w:before="20" w:after="20"/>
            </w:pPr>
            <w:r>
              <w:rPr>
                <w:rFonts w:ascii="Calibri" w:hAnsi="Calibri"/>
                <w:color w:val="334155"/>
                <w:sz w:val="18"/>
              </w:rPr>
              <w:t>Contornos locales, ranuras de roscas, labrado de la banda de rodadura.</w:t>
            </w:r>
          </w:p>
        </w:tc>
      </w:tr>
      <w:tr>
        <w:tc>
          <w:tcPr>
            <w:tcW w:type="dxa" w:w="1728"/>
            <w:shd w:fill="F8FAFC"/>
            <w:tcMar>
              <w:top w:w="70" w:type="dxa"/>
              <w:bottom w:w="70" w:type="dxa"/>
              <w:left w:w="100" w:type="dxa"/>
              <w:right w:w="100" w:type="dxa"/>
            </w:tcMar>
          </w:tcPr>
          <w:p>
            <w:pPr>
              <w:spacing w:before="20" w:after="20"/>
            </w:pPr>
            <w:r>
              <w:rPr>
                <w:rFonts w:ascii="Calibri" w:hAnsi="Calibri"/>
                <w:color w:val="334155"/>
                <w:sz w:val="18"/>
              </w:rPr>
              <w:t>Bin 8</w:t>
            </w:r>
          </w:p>
        </w:tc>
        <w:tc>
          <w:tcPr>
            <w:tcW w:type="dxa" w:w="2592"/>
            <w:shd w:fill="F8FAFC"/>
            <w:tcMar>
              <w:top w:w="70" w:type="dxa"/>
              <w:bottom w:w="70" w:type="dxa"/>
              <w:left w:w="100" w:type="dxa"/>
              <w:right w:w="100" w:type="dxa"/>
            </w:tcMar>
          </w:tcPr>
          <w:p>
            <w:pPr>
              <w:spacing w:before="20" w:after="20"/>
            </w:pPr>
            <w:r>
              <w:rPr>
                <w:rFonts w:ascii="Calibri" w:hAnsi="Calibri"/>
                <w:color w:val="334155"/>
                <w:sz w:val="18"/>
              </w:rPr>
              <w:t>Superficie homogénea plana</w:t>
            </w:r>
          </w:p>
        </w:tc>
        <w:tc>
          <w:tcPr>
            <w:tcW w:type="dxa" w:w="5040"/>
            <w:shd w:fill="F8FAFC"/>
            <w:tcMar>
              <w:top w:w="70" w:type="dxa"/>
              <w:bottom w:w="70" w:type="dxa"/>
              <w:left w:w="100" w:type="dxa"/>
              <w:right w:w="100" w:type="dxa"/>
            </w:tcMar>
          </w:tcPr>
          <w:p>
            <w:pPr>
              <w:spacing w:before="20" w:after="20"/>
            </w:pPr>
            <w:r>
              <w:rPr>
                <w:rFonts w:ascii="Calibri" w:hAnsi="Calibri"/>
                <w:color w:val="334155"/>
                <w:sz w:val="18"/>
              </w:rPr>
              <w:t>Zonas lisas sin cambio de tono: fondo blanco liso y metal pulido.</w:t>
            </w:r>
          </w:p>
        </w:tc>
      </w:tr>
      <w:tr>
        <w:tc>
          <w:tcPr>
            <w:tcW w:type="dxa" w:w="1728"/>
            <w:shd w:fill="FFFFFF"/>
            <w:tcMar>
              <w:top w:w="70" w:type="dxa"/>
              <w:bottom w:w="70" w:type="dxa"/>
              <w:left w:w="100" w:type="dxa"/>
              <w:right w:w="100" w:type="dxa"/>
            </w:tcMar>
          </w:tcPr>
          <w:p>
            <w:pPr>
              <w:spacing w:before="20" w:after="20"/>
            </w:pPr>
            <w:r>
              <w:rPr>
                <w:rFonts w:ascii="Calibri" w:hAnsi="Calibri"/>
                <w:color w:val="334155"/>
                <w:sz w:val="18"/>
              </w:rPr>
              <w:t>Bin 9</w:t>
            </w:r>
          </w:p>
        </w:tc>
        <w:tc>
          <w:tcPr>
            <w:tcW w:type="dxa" w:w="2592"/>
            <w:shd w:fill="FFFFFF"/>
            <w:tcMar>
              <w:top w:w="70" w:type="dxa"/>
              <w:bottom w:w="70" w:type="dxa"/>
              <w:left w:w="100" w:type="dxa"/>
              <w:right w:w="100" w:type="dxa"/>
            </w:tcMar>
          </w:tcPr>
          <w:p>
            <w:pPr>
              <w:spacing w:before="20" w:after="20"/>
            </w:pPr>
            <w:r>
              <w:rPr>
                <w:rFonts w:ascii="Calibri" w:hAnsi="Calibri"/>
                <w:color w:val="334155"/>
                <w:sz w:val="18"/>
              </w:rPr>
              <w:t>Patrón no uniforme</w:t>
            </w:r>
          </w:p>
        </w:tc>
        <w:tc>
          <w:tcPr>
            <w:tcW w:type="dxa" w:w="5040"/>
            <w:shd w:fill="FFFFFF"/>
            <w:tcMar>
              <w:top w:w="70" w:type="dxa"/>
              <w:bottom w:w="70" w:type="dxa"/>
              <w:left w:w="100" w:type="dxa"/>
              <w:right w:w="100" w:type="dxa"/>
            </w:tcMar>
          </w:tcPr>
          <w:p>
            <w:pPr>
              <w:spacing w:before="20" w:after="20"/>
            </w:pPr>
            <w:r>
              <w:rPr>
                <w:rFonts w:ascii="Calibri" w:hAnsi="Calibri"/>
                <w:color w:val="334155"/>
                <w:sz w:val="18"/>
              </w:rPr>
              <w:t>Rugosidad severa, textura granular aperlada, micro-porosidad del caucho.</w:t>
            </w:r>
          </w:p>
        </w:tc>
      </w:tr>
    </w:tbl>
    <w:p>
      <w:pPr>
        <w:spacing w:after="120"/>
      </w:pPr>
    </w:p>
    <w:p>
      <w:pPr>
        <w:keepNext/>
        <w:spacing w:before="280" w:after="80"/>
      </w:pPr>
      <w:r>
        <w:rPr>
          <w:rFonts w:ascii="Calibri" w:hAnsi="Calibri"/>
          <w:b/>
          <w:color w:val="0284C7"/>
          <w:sz w:val="26"/>
        </w:rPr>
        <w:t>5.4 Composición del Vector de Características (49 Dimensiones)</w:t>
      </w:r>
    </w:p>
    <w:p>
      <w:pPr>
        <w:spacing w:before="40" w:after="80" w:line="276" w:lineRule="auto"/>
      </w:pPr>
      <w:r>
        <w:rPr>
          <w:rFonts w:ascii="Calibri" w:hAnsi="Calibri"/>
          <w:color w:val="334155"/>
          <w:sz w:val="20"/>
        </w:rPr>
        <w:t>El archivo 'artifacts/semana10_features.npy' contiene una matriz de shape (3, 49):</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293B"/>
            <w:tcMar>
              <w:top w:w="90" w:type="dxa"/>
              <w:bottom w:w="90" w:type="dxa"/>
              <w:left w:w="110" w:type="dxa"/>
              <w:right w:w="110" w:type="dxa"/>
            </w:tcMar>
          </w:tcPr>
          <w:p>
            <w:pPr>
              <w:spacing w:before="40" w:after="40"/>
              <w:jc w:val="center"/>
            </w:pPr>
            <w:r>
              <w:rPr>
                <w:rFonts w:ascii="Calibri" w:hAnsi="Calibri"/>
                <w:b/>
                <w:color w:val="FFFFFF"/>
                <w:sz w:val="19"/>
              </w:rPr>
              <w:t>Componente</w:t>
            </w:r>
          </w:p>
        </w:tc>
        <w:tc>
          <w:tcPr>
            <w:tcW w:type="dxa" w:w="1728"/>
            <w:shd w:fill="1E293B"/>
            <w:tcMar>
              <w:top w:w="90" w:type="dxa"/>
              <w:bottom w:w="90" w:type="dxa"/>
              <w:left w:w="110" w:type="dxa"/>
              <w:right w:w="110" w:type="dxa"/>
            </w:tcMar>
          </w:tcPr>
          <w:p>
            <w:pPr>
              <w:spacing w:before="40" w:after="40"/>
              <w:jc w:val="center"/>
            </w:pPr>
            <w:r>
              <w:rPr>
                <w:rFonts w:ascii="Calibri" w:hAnsi="Calibri"/>
                <w:b/>
                <w:color w:val="FFFFFF"/>
                <w:sz w:val="19"/>
              </w:rPr>
              <w:t>Dimensiones</w:t>
            </w:r>
          </w:p>
        </w:tc>
        <w:tc>
          <w:tcPr>
            <w:tcW w:type="dxa" w:w="5472"/>
            <w:shd w:fill="1E293B"/>
            <w:tcMar>
              <w:top w:w="90" w:type="dxa"/>
              <w:bottom w:w="90" w:type="dxa"/>
              <w:left w:w="110" w:type="dxa"/>
              <w:right w:w="110" w:type="dxa"/>
            </w:tcMar>
          </w:tcPr>
          <w:p>
            <w:pPr>
              <w:spacing w:before="40" w:after="40"/>
              <w:jc w:val="center"/>
            </w:pPr>
            <w:r>
              <w:rPr>
                <w:rFonts w:ascii="Calibri" w:hAnsi="Calibri"/>
                <w:b/>
                <w:color w:val="FFFFFF"/>
                <w:sz w:val="19"/>
              </w:rPr>
              <w:t>Variables Concatenadas</w:t>
            </w:r>
          </w:p>
        </w:tc>
      </w:tr>
      <w:tr>
        <w:tc>
          <w:tcPr>
            <w:tcW w:type="dxa" w:w="2160"/>
            <w:shd w:fill="FFFFFF"/>
            <w:tcMar>
              <w:top w:w="70" w:type="dxa"/>
              <w:bottom w:w="70" w:type="dxa"/>
              <w:left w:w="100" w:type="dxa"/>
              <w:right w:w="100" w:type="dxa"/>
            </w:tcMar>
          </w:tcPr>
          <w:p>
            <w:pPr>
              <w:spacing w:before="20" w:after="20"/>
            </w:pPr>
            <w:r>
              <w:rPr>
                <w:rFonts w:ascii="Calibri" w:hAnsi="Calibri"/>
                <w:color w:val="334155"/>
                <w:sz w:val="18"/>
              </w:rPr>
              <w:t>Morfometría de Regiones</w:t>
            </w:r>
          </w:p>
        </w:tc>
        <w:tc>
          <w:tcPr>
            <w:tcW w:type="dxa" w:w="1728"/>
            <w:shd w:fill="FFFFFF"/>
            <w:tcMar>
              <w:top w:w="70" w:type="dxa"/>
              <w:bottom w:w="70" w:type="dxa"/>
              <w:left w:w="100" w:type="dxa"/>
              <w:right w:w="100" w:type="dxa"/>
            </w:tcMar>
          </w:tcPr>
          <w:p>
            <w:pPr>
              <w:spacing w:before="20" w:after="20"/>
            </w:pPr>
            <w:r>
              <w:rPr>
                <w:rFonts w:ascii="Calibri" w:hAnsi="Calibri"/>
                <w:color w:val="334155"/>
                <w:sz w:val="18"/>
              </w:rPr>
              <w:t>7 valores</w:t>
            </w:r>
          </w:p>
        </w:tc>
        <w:tc>
          <w:tcPr>
            <w:tcW w:type="dxa" w:w="5472"/>
            <w:shd w:fill="FFFFFF"/>
            <w:tcMar>
              <w:top w:w="70" w:type="dxa"/>
              <w:bottom w:w="70" w:type="dxa"/>
              <w:left w:w="100" w:type="dxa"/>
              <w:right w:w="100" w:type="dxa"/>
            </w:tcMar>
          </w:tcPr>
          <w:p>
            <w:pPr>
              <w:spacing w:before="20" w:after="20"/>
            </w:pPr>
            <w:r>
              <w:rPr>
                <w:rFonts w:ascii="Calibri" w:hAnsi="Calibri"/>
                <w:color w:val="334155"/>
                <w:sz w:val="18"/>
              </w:rPr>
              <w:t>[num_crudas, num_filtradas, area_promedio, area_std, area_total, cobertura_objeto, umbral_otsu]</w:t>
            </w:r>
          </w:p>
        </w:tc>
      </w:tr>
      <w:tr>
        <w:tc>
          <w:tcPr>
            <w:tcW w:type="dxa" w:w="2160"/>
            <w:shd w:fill="F8FAFC"/>
            <w:tcMar>
              <w:top w:w="70" w:type="dxa"/>
              <w:bottom w:w="70" w:type="dxa"/>
              <w:left w:w="100" w:type="dxa"/>
              <w:right w:w="100" w:type="dxa"/>
            </w:tcMar>
          </w:tcPr>
          <w:p>
            <w:pPr>
              <w:spacing w:before="20" w:after="20"/>
            </w:pPr>
            <w:r>
              <w:rPr>
                <w:rFonts w:ascii="Calibri" w:hAnsi="Calibri"/>
                <w:color w:val="334155"/>
                <w:sz w:val="18"/>
              </w:rPr>
              <w:t>Histograma de Intensidad</w:t>
            </w:r>
          </w:p>
        </w:tc>
        <w:tc>
          <w:tcPr>
            <w:tcW w:type="dxa" w:w="1728"/>
            <w:shd w:fill="F8FAFC"/>
            <w:tcMar>
              <w:top w:w="70" w:type="dxa"/>
              <w:bottom w:w="70" w:type="dxa"/>
              <w:left w:w="100" w:type="dxa"/>
              <w:right w:w="100" w:type="dxa"/>
            </w:tcMar>
          </w:tcPr>
          <w:p>
            <w:pPr>
              <w:spacing w:before="20" w:after="20"/>
            </w:pPr>
            <w:r>
              <w:rPr>
                <w:rFonts w:ascii="Calibri" w:hAnsi="Calibri"/>
                <w:color w:val="334155"/>
                <w:sz w:val="18"/>
              </w:rPr>
              <w:t>32 bins</w:t>
            </w:r>
          </w:p>
        </w:tc>
        <w:tc>
          <w:tcPr>
            <w:tcW w:type="dxa" w:w="5472"/>
            <w:shd w:fill="F8FAFC"/>
            <w:tcMar>
              <w:top w:w="70" w:type="dxa"/>
              <w:bottom w:w="70" w:type="dxa"/>
              <w:left w:w="100" w:type="dxa"/>
              <w:right w:w="100" w:type="dxa"/>
            </w:tcMar>
          </w:tcPr>
          <w:p>
            <w:pPr>
              <w:spacing w:before="20" w:after="20"/>
            </w:pPr>
            <w:r>
              <w:rPr>
                <w:rFonts w:ascii="Calibri" w:hAnsi="Calibri"/>
                <w:color w:val="334155"/>
                <w:sz w:val="18"/>
              </w:rPr>
              <w:t>Distribución de niveles de gris normalizada con density=True.</w:t>
            </w:r>
          </w:p>
        </w:tc>
      </w:tr>
      <w:tr>
        <w:tc>
          <w:tcPr>
            <w:tcW w:type="dxa" w:w="2160"/>
            <w:shd w:fill="FFFFFF"/>
            <w:tcMar>
              <w:top w:w="70" w:type="dxa"/>
              <w:bottom w:w="70" w:type="dxa"/>
              <w:left w:w="100" w:type="dxa"/>
              <w:right w:w="100" w:type="dxa"/>
            </w:tcMar>
          </w:tcPr>
          <w:p>
            <w:pPr>
              <w:spacing w:before="20" w:after="20"/>
            </w:pPr>
            <w:r>
              <w:rPr>
                <w:rFonts w:ascii="Calibri" w:hAnsi="Calibri"/>
                <w:color w:val="334155"/>
                <w:sz w:val="18"/>
              </w:rPr>
              <w:t>Histograma LBP</w:t>
            </w:r>
          </w:p>
        </w:tc>
        <w:tc>
          <w:tcPr>
            <w:tcW w:type="dxa" w:w="1728"/>
            <w:shd w:fill="FFFFFF"/>
            <w:tcMar>
              <w:top w:w="70" w:type="dxa"/>
              <w:bottom w:w="70" w:type="dxa"/>
              <w:left w:w="100" w:type="dxa"/>
              <w:right w:w="100" w:type="dxa"/>
            </w:tcMar>
          </w:tcPr>
          <w:p>
            <w:pPr>
              <w:spacing w:before="20" w:after="20"/>
            </w:pPr>
            <w:r>
              <w:rPr>
                <w:rFonts w:ascii="Calibri" w:hAnsi="Calibri"/>
                <w:color w:val="334155"/>
                <w:sz w:val="18"/>
              </w:rPr>
              <w:t>10 bins</w:t>
            </w:r>
          </w:p>
        </w:tc>
        <w:tc>
          <w:tcPr>
            <w:tcW w:type="dxa" w:w="5472"/>
            <w:shd w:fill="FFFFFF"/>
            <w:tcMar>
              <w:top w:w="70" w:type="dxa"/>
              <w:bottom w:w="70" w:type="dxa"/>
              <w:left w:w="100" w:type="dxa"/>
              <w:right w:w="100" w:type="dxa"/>
            </w:tcMar>
          </w:tcPr>
          <w:p>
            <w:pPr>
              <w:spacing w:before="20" w:after="20"/>
            </w:pPr>
            <w:r>
              <w:rPr>
                <w:rFonts w:ascii="Calibri" w:hAnsi="Calibri"/>
                <w:color w:val="334155"/>
                <w:sz w:val="18"/>
              </w:rPr>
              <w:t>Distribución de micro-texturas uniformes normalizada.</w:t>
            </w:r>
          </w:p>
        </w:tc>
      </w:tr>
      <w:tr>
        <w:tc>
          <w:tcPr>
            <w:tcW w:type="dxa" w:w="2160"/>
            <w:shd w:fill="F8FAFC"/>
            <w:tcMar>
              <w:top w:w="70" w:type="dxa"/>
              <w:bottom w:w="70" w:type="dxa"/>
              <w:left w:w="100" w:type="dxa"/>
              <w:right w:w="100" w:type="dxa"/>
            </w:tcMar>
          </w:tcPr>
          <w:p>
            <w:pPr>
              <w:spacing w:before="20" w:after="20"/>
            </w:pPr>
            <w:r>
              <w:rPr>
                <w:rFonts w:ascii="Calibri" w:hAnsi="Calibri"/>
                <w:color w:val="334155"/>
                <w:sz w:val="18"/>
              </w:rPr>
              <w:t>TOTAL VECTOR</w:t>
            </w:r>
          </w:p>
        </w:tc>
        <w:tc>
          <w:tcPr>
            <w:tcW w:type="dxa" w:w="1728"/>
            <w:shd w:fill="F8FAFC"/>
            <w:tcMar>
              <w:top w:w="70" w:type="dxa"/>
              <w:bottom w:w="70" w:type="dxa"/>
              <w:left w:w="100" w:type="dxa"/>
              <w:right w:w="100" w:type="dxa"/>
            </w:tcMar>
          </w:tcPr>
          <w:p>
            <w:pPr>
              <w:spacing w:before="20" w:after="20"/>
            </w:pPr>
            <w:r>
              <w:rPr>
                <w:rFonts w:ascii="Calibri" w:hAnsi="Calibri"/>
                <w:color w:val="334155"/>
                <w:sz w:val="18"/>
              </w:rPr>
              <w:t>49 valores</w:t>
            </w:r>
          </w:p>
        </w:tc>
        <w:tc>
          <w:tcPr>
            <w:tcW w:type="dxa" w:w="5472"/>
            <w:shd w:fill="F8FAFC"/>
            <w:tcMar>
              <w:top w:w="70" w:type="dxa"/>
              <w:bottom w:w="70" w:type="dxa"/>
              <w:left w:w="100" w:type="dxa"/>
              <w:right w:w="100" w:type="dxa"/>
            </w:tcMar>
          </w:tcPr>
          <w:p>
            <w:pPr>
              <w:spacing w:before="20" w:after="20"/>
            </w:pPr>
            <w:r>
              <w:rPr>
                <w:rFonts w:ascii="Calibri" w:hAnsi="Calibri"/>
                <w:color w:val="334155"/>
                <w:sz w:val="18"/>
              </w:rPr>
              <w:t>Concatenación vectorial: 7 + 32 + 10 = 49 dimensiones float64.</w:t>
            </w:r>
          </w:p>
        </w:tc>
      </w:tr>
    </w:tbl>
    <w:p>
      <w:pPr>
        <w:spacing w:after="120"/>
      </w:pPr>
    </w:p>
    <w:p>
      <w:pPr>
        <w:keepNext/>
        <w:spacing w:before="280" w:after="80"/>
      </w:pPr>
      <w:r>
        <w:rPr>
          <w:rFonts w:ascii="Calibri" w:hAnsi="Calibri"/>
          <w:b/>
          <w:color w:val="0284C7"/>
          <w:sz w:val="26"/>
        </w:rPr>
        <w:t>5.5 Comparativa de Repuestos del Taller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90" w:type="dxa"/>
              <w:bottom w:w="90" w:type="dxa"/>
              <w:left w:w="110" w:type="dxa"/>
              <w:right w:w="110" w:type="dxa"/>
            </w:tcMar>
          </w:tcPr>
          <w:p>
            <w:pPr>
              <w:spacing w:before="40" w:after="40"/>
              <w:jc w:val="center"/>
            </w:pPr>
            <w:r>
              <w:rPr>
                <w:rFonts w:ascii="Calibri" w:hAnsi="Calibri"/>
                <w:b/>
                <w:color w:val="FFFFFF"/>
                <w:sz w:val="19"/>
              </w:rPr>
              <w:t>Métrica</w:t>
            </w:r>
          </w:p>
        </w:tc>
        <w:tc>
          <w:tcPr>
            <w:tcW w:type="dxa" w:w="2304"/>
            <w:shd w:fill="1E293B"/>
            <w:tcMar>
              <w:top w:w="90" w:type="dxa"/>
              <w:bottom w:w="90" w:type="dxa"/>
              <w:left w:w="110" w:type="dxa"/>
              <w:right w:w="110" w:type="dxa"/>
            </w:tcMar>
          </w:tcPr>
          <w:p>
            <w:pPr>
              <w:spacing w:before="40" w:after="40"/>
              <w:jc w:val="center"/>
            </w:pPr>
            <w:r>
              <w:rPr>
                <w:rFonts w:ascii="Calibri" w:hAnsi="Calibri"/>
                <w:b/>
                <w:color w:val="FFFFFF"/>
                <w:sz w:val="19"/>
              </w:rPr>
              <w:t>Bujía (foto_bujia.jpg)</w:t>
            </w:r>
          </w:p>
        </w:tc>
        <w:tc>
          <w:tcPr>
            <w:tcW w:type="dxa" w:w="2304"/>
            <w:shd w:fill="1E293B"/>
            <w:tcMar>
              <w:top w:w="90" w:type="dxa"/>
              <w:bottom w:w="90" w:type="dxa"/>
              <w:left w:w="110" w:type="dxa"/>
              <w:right w:w="110" w:type="dxa"/>
            </w:tcMar>
          </w:tcPr>
          <w:p>
            <w:pPr>
              <w:spacing w:before="40" w:after="40"/>
              <w:jc w:val="center"/>
            </w:pPr>
            <w:r>
              <w:rPr>
                <w:rFonts w:ascii="Calibri" w:hAnsi="Calibri"/>
                <w:b/>
                <w:color w:val="FFFFFF"/>
                <w:sz w:val="19"/>
              </w:rPr>
              <w:t>Llanta (foto_llanta.jpg)</w:t>
            </w:r>
          </w:p>
        </w:tc>
        <w:tc>
          <w:tcPr>
            <w:tcW w:type="dxa" w:w="2592"/>
            <w:shd w:fill="1E293B"/>
            <w:tcMar>
              <w:top w:w="90" w:type="dxa"/>
              <w:bottom w:w="90" w:type="dxa"/>
              <w:left w:w="110" w:type="dxa"/>
              <w:right w:w="110" w:type="dxa"/>
            </w:tcMar>
          </w:tcPr>
          <w:p>
            <w:pPr>
              <w:spacing w:before="40" w:after="40"/>
              <w:jc w:val="center"/>
            </w:pPr>
            <w:r>
              <w:rPr>
                <w:rFonts w:ascii="Calibri" w:hAnsi="Calibri"/>
                <w:b/>
                <w:color w:val="FFFFFF"/>
                <w:sz w:val="19"/>
              </w:rPr>
              <w:t>Pistón (foto_piston.jpg)</w:t>
            </w:r>
          </w:p>
        </w:tc>
      </w:tr>
      <w:tr>
        <w:tc>
          <w:tcPr>
            <w:tcW w:type="dxa" w:w="2160"/>
            <w:shd w:fill="FFFFFF"/>
            <w:tcMar>
              <w:top w:w="70" w:type="dxa"/>
              <w:bottom w:w="70" w:type="dxa"/>
              <w:left w:w="100" w:type="dxa"/>
              <w:right w:w="100" w:type="dxa"/>
            </w:tcMar>
          </w:tcPr>
          <w:p>
            <w:pPr>
              <w:spacing w:before="20" w:after="20"/>
            </w:pPr>
            <w:r>
              <w:rPr>
                <w:rFonts w:ascii="Calibri" w:hAnsi="Calibri"/>
                <w:color w:val="334155"/>
                <w:sz w:val="18"/>
              </w:rPr>
              <w:t>Umbral Otsu (T*)</w:t>
            </w:r>
          </w:p>
        </w:tc>
        <w:tc>
          <w:tcPr>
            <w:tcW w:type="dxa" w:w="2304"/>
            <w:shd w:fill="FFFFFF"/>
            <w:tcMar>
              <w:top w:w="70" w:type="dxa"/>
              <w:bottom w:w="70" w:type="dxa"/>
              <w:left w:w="100" w:type="dxa"/>
              <w:right w:w="100" w:type="dxa"/>
            </w:tcMar>
          </w:tcPr>
          <w:p>
            <w:pPr>
              <w:spacing w:before="20" w:after="20"/>
            </w:pPr>
            <w:r>
              <w:rPr>
                <w:rFonts w:ascii="Calibri" w:hAnsi="Calibri"/>
                <w:color w:val="334155"/>
                <w:sz w:val="18"/>
              </w:rPr>
              <w:t>191</w:t>
            </w:r>
          </w:p>
        </w:tc>
        <w:tc>
          <w:tcPr>
            <w:tcW w:type="dxa" w:w="2304"/>
            <w:shd w:fill="FFFFFF"/>
            <w:tcMar>
              <w:top w:w="70" w:type="dxa"/>
              <w:bottom w:w="70" w:type="dxa"/>
              <w:left w:w="100" w:type="dxa"/>
              <w:right w:w="100" w:type="dxa"/>
            </w:tcMar>
          </w:tcPr>
          <w:p>
            <w:pPr>
              <w:spacing w:before="20" w:after="20"/>
            </w:pPr>
            <w:r>
              <w:rPr>
                <w:rFonts w:ascii="Calibri" w:hAnsi="Calibri"/>
                <w:color w:val="334155"/>
                <w:sz w:val="18"/>
              </w:rPr>
              <w:t>157</w:t>
            </w:r>
          </w:p>
        </w:tc>
        <w:tc>
          <w:tcPr>
            <w:tcW w:type="dxa" w:w="2592"/>
            <w:shd w:fill="FFFFFF"/>
            <w:tcMar>
              <w:top w:w="70" w:type="dxa"/>
              <w:bottom w:w="70" w:type="dxa"/>
              <w:left w:w="100" w:type="dxa"/>
              <w:right w:w="100" w:type="dxa"/>
            </w:tcMar>
          </w:tcPr>
          <w:p>
            <w:pPr>
              <w:spacing w:before="20" w:after="20"/>
            </w:pPr>
            <w:r>
              <w:rPr>
                <w:rFonts w:ascii="Calibri" w:hAnsi="Calibri"/>
                <w:color w:val="334155"/>
                <w:sz w:val="18"/>
              </w:rPr>
              <w:t>183</w:t>
            </w:r>
          </w:p>
        </w:tc>
      </w:tr>
      <w:tr>
        <w:tc>
          <w:tcPr>
            <w:tcW w:type="dxa" w:w="2160"/>
            <w:shd w:fill="F8FAFC"/>
            <w:tcMar>
              <w:top w:w="70" w:type="dxa"/>
              <w:bottom w:w="70" w:type="dxa"/>
              <w:left w:w="100" w:type="dxa"/>
              <w:right w:w="100" w:type="dxa"/>
            </w:tcMar>
          </w:tcPr>
          <w:p>
            <w:pPr>
              <w:spacing w:before="20" w:after="20"/>
            </w:pPr>
            <w:r>
              <w:rPr>
                <w:rFonts w:ascii="Calibri" w:hAnsi="Calibri"/>
                <w:color w:val="334155"/>
                <w:sz w:val="18"/>
              </w:rPr>
              <w:t>Cobertura en Imagen</w:t>
            </w:r>
          </w:p>
        </w:tc>
        <w:tc>
          <w:tcPr>
            <w:tcW w:type="dxa" w:w="2304"/>
            <w:shd w:fill="F8FAFC"/>
            <w:tcMar>
              <w:top w:w="70" w:type="dxa"/>
              <w:bottom w:w="70" w:type="dxa"/>
              <w:left w:w="100" w:type="dxa"/>
              <w:right w:w="100" w:type="dxa"/>
            </w:tcMar>
          </w:tcPr>
          <w:p>
            <w:pPr>
              <w:spacing w:before="20" w:after="20"/>
            </w:pPr>
            <w:r>
              <w:rPr>
                <w:rFonts w:ascii="Calibri" w:hAnsi="Calibri"/>
                <w:color w:val="334155"/>
                <w:sz w:val="18"/>
              </w:rPr>
              <w:t>6.82%</w:t>
            </w:r>
          </w:p>
        </w:tc>
        <w:tc>
          <w:tcPr>
            <w:tcW w:type="dxa" w:w="2304"/>
            <w:shd w:fill="F8FAFC"/>
            <w:tcMar>
              <w:top w:w="70" w:type="dxa"/>
              <w:bottom w:w="70" w:type="dxa"/>
              <w:left w:w="100" w:type="dxa"/>
              <w:right w:w="100" w:type="dxa"/>
            </w:tcMar>
          </w:tcPr>
          <w:p>
            <w:pPr>
              <w:spacing w:before="20" w:after="20"/>
            </w:pPr>
            <w:r>
              <w:rPr>
                <w:rFonts w:ascii="Calibri" w:hAnsi="Calibri"/>
                <w:color w:val="334155"/>
                <w:sz w:val="18"/>
              </w:rPr>
              <w:t>41.89%</w:t>
            </w:r>
          </w:p>
        </w:tc>
        <w:tc>
          <w:tcPr>
            <w:tcW w:type="dxa" w:w="2592"/>
            <w:shd w:fill="F8FAFC"/>
            <w:tcMar>
              <w:top w:w="70" w:type="dxa"/>
              <w:bottom w:w="70" w:type="dxa"/>
              <w:left w:w="100" w:type="dxa"/>
              <w:right w:w="100" w:type="dxa"/>
            </w:tcMar>
          </w:tcPr>
          <w:p>
            <w:pPr>
              <w:spacing w:before="20" w:after="20"/>
            </w:pPr>
            <w:r>
              <w:rPr>
                <w:rFonts w:ascii="Calibri" w:hAnsi="Calibri"/>
                <w:color w:val="334155"/>
                <w:sz w:val="18"/>
              </w:rPr>
              <w:t>30.26%</w:t>
            </w:r>
          </w:p>
        </w:tc>
      </w:tr>
      <w:tr>
        <w:tc>
          <w:tcPr>
            <w:tcW w:type="dxa" w:w="2160"/>
            <w:shd w:fill="FFFFFF"/>
            <w:tcMar>
              <w:top w:w="70" w:type="dxa"/>
              <w:bottom w:w="70" w:type="dxa"/>
              <w:left w:w="100" w:type="dxa"/>
              <w:right w:w="100" w:type="dxa"/>
            </w:tcMar>
          </w:tcPr>
          <w:p>
            <w:pPr>
              <w:spacing w:before="20" w:after="20"/>
            </w:pPr>
            <w:r>
              <w:rPr>
                <w:rFonts w:ascii="Calibri" w:hAnsi="Calibri"/>
                <w:color w:val="334155"/>
                <w:sz w:val="18"/>
              </w:rPr>
              <w:t>Regiones Crudas -&gt; Filt</w:t>
            </w:r>
          </w:p>
        </w:tc>
        <w:tc>
          <w:tcPr>
            <w:tcW w:type="dxa" w:w="2304"/>
            <w:shd w:fill="FFFFFF"/>
            <w:tcMar>
              <w:top w:w="70" w:type="dxa"/>
              <w:bottom w:w="70" w:type="dxa"/>
              <w:left w:w="100" w:type="dxa"/>
              <w:right w:w="100" w:type="dxa"/>
            </w:tcMar>
          </w:tcPr>
          <w:p>
            <w:pPr>
              <w:spacing w:before="20" w:after="20"/>
            </w:pPr>
            <w:r>
              <w:rPr>
                <w:rFonts w:ascii="Calibri" w:hAnsi="Calibri"/>
                <w:color w:val="334155"/>
                <w:sz w:val="18"/>
              </w:rPr>
              <w:t>22 -&gt; 2 componentes</w:t>
            </w:r>
          </w:p>
        </w:tc>
        <w:tc>
          <w:tcPr>
            <w:tcW w:type="dxa" w:w="2304"/>
            <w:shd w:fill="FFFFFF"/>
            <w:tcMar>
              <w:top w:w="70" w:type="dxa"/>
              <w:bottom w:w="70" w:type="dxa"/>
              <w:left w:w="100" w:type="dxa"/>
              <w:right w:w="100" w:type="dxa"/>
            </w:tcMar>
          </w:tcPr>
          <w:p>
            <w:pPr>
              <w:spacing w:before="20" w:after="20"/>
            </w:pPr>
            <w:r>
              <w:rPr>
                <w:rFonts w:ascii="Calibri" w:hAnsi="Calibri"/>
                <w:color w:val="334155"/>
                <w:sz w:val="18"/>
              </w:rPr>
              <w:t>30 -&gt; 1 componente</w:t>
            </w:r>
          </w:p>
        </w:tc>
        <w:tc>
          <w:tcPr>
            <w:tcW w:type="dxa" w:w="2592"/>
            <w:shd w:fill="FFFFFF"/>
            <w:tcMar>
              <w:top w:w="70" w:type="dxa"/>
              <w:bottom w:w="70" w:type="dxa"/>
              <w:left w:w="100" w:type="dxa"/>
              <w:right w:w="100" w:type="dxa"/>
            </w:tcMar>
          </w:tcPr>
          <w:p>
            <w:pPr>
              <w:spacing w:before="20" w:after="20"/>
            </w:pPr>
            <w:r>
              <w:rPr>
                <w:rFonts w:ascii="Calibri" w:hAnsi="Calibri"/>
                <w:color w:val="334155"/>
                <w:sz w:val="18"/>
              </w:rPr>
              <w:t>152 -&gt; 4 componentes</w:t>
            </w:r>
          </w:p>
        </w:tc>
      </w:tr>
      <w:tr>
        <w:tc>
          <w:tcPr>
            <w:tcW w:type="dxa" w:w="2160"/>
            <w:shd w:fill="F8FAFC"/>
            <w:tcMar>
              <w:top w:w="70" w:type="dxa"/>
              <w:bottom w:w="70" w:type="dxa"/>
              <w:left w:w="100" w:type="dxa"/>
              <w:right w:w="100" w:type="dxa"/>
            </w:tcMar>
          </w:tcPr>
          <w:p>
            <w:pPr>
              <w:spacing w:before="20" w:after="20"/>
            </w:pPr>
            <w:r>
              <w:rPr>
                <w:rFonts w:ascii="Calibri" w:hAnsi="Calibri"/>
                <w:color w:val="334155"/>
                <w:sz w:val="18"/>
              </w:rPr>
              <w:t>Área Promedio Filtrada</w:t>
            </w:r>
          </w:p>
        </w:tc>
        <w:tc>
          <w:tcPr>
            <w:tcW w:type="dxa" w:w="2304"/>
            <w:shd w:fill="F8FAFC"/>
            <w:tcMar>
              <w:top w:w="70" w:type="dxa"/>
              <w:bottom w:w="70" w:type="dxa"/>
              <w:left w:w="100" w:type="dxa"/>
              <w:right w:w="100" w:type="dxa"/>
            </w:tcMar>
          </w:tcPr>
          <w:p>
            <w:pPr>
              <w:spacing w:before="20" w:after="20"/>
            </w:pPr>
            <w:r>
              <w:rPr>
                <w:rFonts w:ascii="Calibri" w:hAnsi="Calibri"/>
                <w:color w:val="334155"/>
                <w:sz w:val="18"/>
              </w:rPr>
              <w:t>6,718 px</w:t>
            </w:r>
          </w:p>
        </w:tc>
        <w:tc>
          <w:tcPr>
            <w:tcW w:type="dxa" w:w="2304"/>
            <w:shd w:fill="F8FAFC"/>
            <w:tcMar>
              <w:top w:w="70" w:type="dxa"/>
              <w:bottom w:w="70" w:type="dxa"/>
              <w:left w:w="100" w:type="dxa"/>
              <w:right w:w="100" w:type="dxa"/>
            </w:tcMar>
          </w:tcPr>
          <w:p>
            <w:pPr>
              <w:spacing w:before="20" w:after="20"/>
            </w:pPr>
            <w:r>
              <w:rPr>
                <w:rFonts w:ascii="Calibri" w:hAnsi="Calibri"/>
                <w:color w:val="334155"/>
                <w:sz w:val="18"/>
              </w:rPr>
              <w:t>128,466 px</w:t>
            </w:r>
          </w:p>
        </w:tc>
        <w:tc>
          <w:tcPr>
            <w:tcW w:type="dxa" w:w="2592"/>
            <w:shd w:fill="F8FAFC"/>
            <w:tcMar>
              <w:top w:w="70" w:type="dxa"/>
              <w:bottom w:w="70" w:type="dxa"/>
              <w:left w:w="100" w:type="dxa"/>
              <w:right w:w="100" w:type="dxa"/>
            </w:tcMar>
          </w:tcPr>
          <w:p>
            <w:pPr>
              <w:spacing w:before="20" w:after="20"/>
            </w:pPr>
            <w:r>
              <w:rPr>
                <w:rFonts w:ascii="Calibri" w:hAnsi="Calibri"/>
                <w:color w:val="334155"/>
                <w:sz w:val="18"/>
              </w:rPr>
              <w:t>17,454 px</w:t>
            </w:r>
          </w:p>
        </w:tc>
      </w:tr>
      <w:tr>
        <w:tc>
          <w:tcPr>
            <w:tcW w:type="dxa" w:w="2160"/>
            <w:shd w:fill="FFFFFF"/>
            <w:tcMar>
              <w:top w:w="70" w:type="dxa"/>
              <w:bottom w:w="70" w:type="dxa"/>
              <w:left w:w="100" w:type="dxa"/>
              <w:right w:w="100" w:type="dxa"/>
            </w:tcMar>
          </w:tcPr>
          <w:p>
            <w:pPr>
              <w:spacing w:before="20" w:after="20"/>
            </w:pPr>
            <w:r>
              <w:rPr>
                <w:rFonts w:ascii="Calibri" w:hAnsi="Calibri"/>
                <w:color w:val="334155"/>
                <w:sz w:val="18"/>
              </w:rPr>
              <w:t>LBP Bin 8 (Homogéneo)</w:t>
            </w:r>
          </w:p>
        </w:tc>
        <w:tc>
          <w:tcPr>
            <w:tcW w:type="dxa" w:w="2304"/>
            <w:shd w:fill="FFFFFF"/>
            <w:tcMar>
              <w:top w:w="70" w:type="dxa"/>
              <w:bottom w:w="70" w:type="dxa"/>
              <w:left w:w="100" w:type="dxa"/>
              <w:right w:w="100" w:type="dxa"/>
            </w:tcMar>
          </w:tcPr>
          <w:p>
            <w:pPr>
              <w:spacing w:before="20" w:after="20"/>
            </w:pPr>
            <w:r>
              <w:rPr>
                <w:rFonts w:ascii="Calibri" w:hAnsi="Calibri"/>
                <w:color w:val="334155"/>
                <w:sz w:val="18"/>
              </w:rPr>
              <w:t>86.49%</w:t>
            </w:r>
          </w:p>
        </w:tc>
        <w:tc>
          <w:tcPr>
            <w:tcW w:type="dxa" w:w="2304"/>
            <w:shd w:fill="FFFFFF"/>
            <w:tcMar>
              <w:top w:w="70" w:type="dxa"/>
              <w:bottom w:w="70" w:type="dxa"/>
              <w:left w:w="100" w:type="dxa"/>
              <w:right w:w="100" w:type="dxa"/>
            </w:tcMar>
          </w:tcPr>
          <w:p>
            <w:pPr>
              <w:spacing w:before="20" w:after="20"/>
            </w:pPr>
            <w:r>
              <w:rPr>
                <w:rFonts w:ascii="Calibri" w:hAnsi="Calibri"/>
                <w:color w:val="334155"/>
                <w:sz w:val="18"/>
              </w:rPr>
              <w:t>55.93%</w:t>
            </w:r>
          </w:p>
        </w:tc>
        <w:tc>
          <w:tcPr>
            <w:tcW w:type="dxa" w:w="2592"/>
            <w:shd w:fill="FFFFFF"/>
            <w:tcMar>
              <w:top w:w="70" w:type="dxa"/>
              <w:bottom w:w="70" w:type="dxa"/>
              <w:left w:w="100" w:type="dxa"/>
              <w:right w:w="100" w:type="dxa"/>
            </w:tcMar>
          </w:tcPr>
          <w:p>
            <w:pPr>
              <w:spacing w:before="20" w:after="20"/>
            </w:pPr>
            <w:r>
              <w:rPr>
                <w:rFonts w:ascii="Calibri" w:hAnsi="Calibri"/>
                <w:color w:val="334155"/>
                <w:sz w:val="18"/>
              </w:rPr>
              <w:t>50.06%</w:t>
            </w:r>
          </w:p>
        </w:tc>
      </w:tr>
      <w:tr>
        <w:tc>
          <w:tcPr>
            <w:tcW w:type="dxa" w:w="2160"/>
            <w:shd w:fill="F8FAFC"/>
            <w:tcMar>
              <w:top w:w="70" w:type="dxa"/>
              <w:bottom w:w="70" w:type="dxa"/>
              <w:left w:w="100" w:type="dxa"/>
              <w:right w:w="100" w:type="dxa"/>
            </w:tcMar>
          </w:tcPr>
          <w:p>
            <w:pPr>
              <w:spacing w:before="20" w:after="20"/>
            </w:pPr>
            <w:r>
              <w:rPr>
                <w:rFonts w:ascii="Calibri" w:hAnsi="Calibri"/>
                <w:color w:val="334155"/>
                <w:sz w:val="18"/>
              </w:rPr>
              <w:t>LBP Bins 0-7 (Bordes)</w:t>
            </w:r>
          </w:p>
        </w:tc>
        <w:tc>
          <w:tcPr>
            <w:tcW w:type="dxa" w:w="2304"/>
            <w:shd w:fill="F8FAFC"/>
            <w:tcMar>
              <w:top w:w="70" w:type="dxa"/>
              <w:bottom w:w="70" w:type="dxa"/>
              <w:left w:w="100" w:type="dxa"/>
              <w:right w:w="100" w:type="dxa"/>
            </w:tcMar>
          </w:tcPr>
          <w:p>
            <w:pPr>
              <w:spacing w:before="20" w:after="20"/>
            </w:pPr>
            <w:r>
              <w:rPr>
                <w:rFonts w:ascii="Calibri" w:hAnsi="Calibri"/>
                <w:color w:val="334155"/>
                <w:sz w:val="18"/>
              </w:rPr>
              <w:t>6.84%</w:t>
            </w:r>
          </w:p>
        </w:tc>
        <w:tc>
          <w:tcPr>
            <w:tcW w:type="dxa" w:w="2304"/>
            <w:shd w:fill="F8FAFC"/>
            <w:tcMar>
              <w:top w:w="70" w:type="dxa"/>
              <w:bottom w:w="70" w:type="dxa"/>
              <w:left w:w="100" w:type="dxa"/>
              <w:right w:w="100" w:type="dxa"/>
            </w:tcMar>
          </w:tcPr>
          <w:p>
            <w:pPr>
              <w:spacing w:before="20" w:after="20"/>
            </w:pPr>
            <w:r>
              <w:rPr>
                <w:rFonts w:ascii="Calibri" w:hAnsi="Calibri"/>
                <w:color w:val="334155"/>
                <w:sz w:val="18"/>
              </w:rPr>
              <w:t>30.34% (4.4x mayor)</w:t>
            </w:r>
          </w:p>
        </w:tc>
        <w:tc>
          <w:tcPr>
            <w:tcW w:type="dxa" w:w="2592"/>
            <w:shd w:fill="F8FAFC"/>
            <w:tcMar>
              <w:top w:w="70" w:type="dxa"/>
              <w:bottom w:w="70" w:type="dxa"/>
              <w:left w:w="100" w:type="dxa"/>
              <w:right w:w="100" w:type="dxa"/>
            </w:tcMar>
          </w:tcPr>
          <w:p>
            <w:pPr>
              <w:spacing w:before="20" w:after="20"/>
            </w:pPr>
            <w:r>
              <w:rPr>
                <w:rFonts w:ascii="Calibri" w:hAnsi="Calibri"/>
                <w:color w:val="334155"/>
                <w:sz w:val="18"/>
              </w:rPr>
              <w:t>12.18%</w:t>
            </w:r>
          </w:p>
        </w:tc>
      </w:tr>
      <w:tr>
        <w:tc>
          <w:tcPr>
            <w:tcW w:type="dxa" w:w="2160"/>
            <w:shd w:fill="FFFFFF"/>
            <w:tcMar>
              <w:top w:w="70" w:type="dxa"/>
              <w:bottom w:w="70" w:type="dxa"/>
              <w:left w:w="100" w:type="dxa"/>
              <w:right w:w="100" w:type="dxa"/>
            </w:tcMar>
          </w:tcPr>
          <w:p>
            <w:pPr>
              <w:spacing w:before="20" w:after="20"/>
            </w:pPr>
            <w:r>
              <w:rPr>
                <w:rFonts w:ascii="Calibri" w:hAnsi="Calibri"/>
                <w:color w:val="334155"/>
                <w:sz w:val="18"/>
              </w:rPr>
              <w:t>LBP Bin 9 (Rugosidad)</w:t>
            </w:r>
          </w:p>
        </w:tc>
        <w:tc>
          <w:tcPr>
            <w:tcW w:type="dxa" w:w="2304"/>
            <w:shd w:fill="FFFFFF"/>
            <w:tcMar>
              <w:top w:w="70" w:type="dxa"/>
              <w:bottom w:w="70" w:type="dxa"/>
              <w:left w:w="100" w:type="dxa"/>
              <w:right w:w="100" w:type="dxa"/>
            </w:tcMar>
          </w:tcPr>
          <w:p>
            <w:pPr>
              <w:spacing w:before="20" w:after="20"/>
            </w:pPr>
            <w:r>
              <w:rPr>
                <w:rFonts w:ascii="Calibri" w:hAnsi="Calibri"/>
                <w:color w:val="334155"/>
                <w:sz w:val="18"/>
              </w:rPr>
              <w:t>1.71%</w:t>
            </w:r>
          </w:p>
        </w:tc>
        <w:tc>
          <w:tcPr>
            <w:tcW w:type="dxa" w:w="2304"/>
            <w:shd w:fill="FFFFFF"/>
            <w:tcMar>
              <w:top w:w="70" w:type="dxa"/>
              <w:bottom w:w="70" w:type="dxa"/>
              <w:left w:w="100" w:type="dxa"/>
              <w:right w:w="100" w:type="dxa"/>
            </w:tcMar>
          </w:tcPr>
          <w:p>
            <w:pPr>
              <w:spacing w:before="20" w:after="20"/>
            </w:pPr>
            <w:r>
              <w:rPr>
                <w:rFonts w:ascii="Calibri" w:hAnsi="Calibri"/>
                <w:color w:val="334155"/>
                <w:sz w:val="18"/>
              </w:rPr>
              <w:t>7.57% (4.4x mayor)</w:t>
            </w:r>
          </w:p>
        </w:tc>
        <w:tc>
          <w:tcPr>
            <w:tcW w:type="dxa" w:w="2592"/>
            <w:shd w:fill="FFFFFF"/>
            <w:tcMar>
              <w:top w:w="70" w:type="dxa"/>
              <w:bottom w:w="70" w:type="dxa"/>
              <w:left w:w="100" w:type="dxa"/>
              <w:right w:w="100" w:type="dxa"/>
            </w:tcMar>
          </w:tcPr>
          <w:p>
            <w:pPr>
              <w:spacing w:before="20" w:after="20"/>
            </w:pPr>
            <w:r>
              <w:rPr>
                <w:rFonts w:ascii="Calibri" w:hAnsi="Calibri"/>
                <w:color w:val="334155"/>
                <w:sz w:val="18"/>
              </w:rPr>
              <w:t>5.74%</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3E8FF"/>
            <w:tcMar>
              <w:top w:w="120" w:type="dxa"/>
              <w:bottom w:w="120" w:type="dxa"/>
              <w:left w:w="180" w:type="dxa"/>
              <w:right w:w="180" w:type="dxa"/>
            </w:tcMar>
            <w:tcBorders>
              <w:top w:val="none"/>
              <w:left w:val="single" w:sz="28" w:space="0" w:color="9333EA"/>
              <w:bottom w:val="none"/>
              <w:right w:val="none"/>
            </w:tcBorders>
          </w:tcPr>
          <w:p>
            <w:pPr>
              <w:spacing w:before="40" w:after="40"/>
            </w:pPr>
            <w:r>
              <w:rPr>
                <w:rFonts w:ascii="Calibri" w:hAnsi="Calibri"/>
                <w:b/>
                <w:color w:val="6B21A8"/>
                <w:sz w:val="20"/>
              </w:rPr>
              <w:t>🎯 SIMULACRO DE DEFENSA: MODIFICACIONES EN VIVO DE CÓDIGO (SEMANA 10)</w:t>
              <w:br/>
            </w:r>
            <w:r>
              <w:rPr>
                <w:rFonts w:ascii="Calibri" w:hAnsi="Calibri"/>
                <w:color w:val="1F2937"/>
                <w:sz w:val="19"/>
              </w:rPr>
              <w:t>• Si el profesor borra 'r.area &gt;= min_area' (línea 92):</w:t>
              <w:br/>
              <w:t xml:space="preserve">  'El número de regiones de la llanta pasa de 1 a 30. El área promedio se desploma de 128,466 px a unos pocos cientos de píxeles, distorsionando la morfología del neumático por culpa de imperfecciones de iluminación.'</w:t>
              <w:br/>
              <w:br/>
              <w:t>• Si el profesor cambia 'method=uniform' por 'method=default' en LBP:</w:t>
              <w:br/>
              <w:t xml:space="preserve">  'El operador generará 2^8 = 256 bins en vez de 10. El vector de características pasaría de 49 a 295 dimensiones, perdiendo la propiedad de invariancia rotacional y sufriendo la maldición de la dimensionalidad.'</w:t>
              <w:br/>
              <w:br/>
              <w:t>• Si el profesor pregunta: '¿Cómo sabe el sistema si una foto es una Llanta o una Bujía?':</w:t>
              <w:br/>
              <w:t xml:space="preserve">  'Por dos propiedades matemáticas del vector: 1) Cobertura y área (la llanta ocupa 41.9% vs 6.8% de la bujía). 2) Textura LBP: la llanta tiene 4.4 veces más microbordes (30.34% vs 6.84%) y 4.4 veces más rugosidad no uniforme (7.57% vs 1.71%) debido al labrado del caucho.'</w:t>
            </w:r>
          </w:p>
        </w:tc>
      </w:tr>
    </w:tbl>
    <w:p>
      <w:pPr>
        <w:spacing w:after="80"/>
      </w:pPr>
    </w:p>
    <w:p>
      <w:pPr>
        <w:keepNext/>
        <w:spacing w:before="360" w:after="120"/>
      </w:pPr>
      <w:r>
        <w:rPr>
          <w:rFonts w:ascii="Calibri" w:hAnsi="Calibri"/>
          <w:b/>
          <w:color w:val="0F172A"/>
          <w:sz w:val="32"/>
        </w:rPr>
        <w:t>6. Caso de Estudio de Ingeniería: Resiliencia ante Windows AppLocker</w:t>
      </w:r>
    </w:p>
    <w:p>
      <w:pPr>
        <w:spacing w:before="40" w:after="80" w:line="276" w:lineRule="auto"/>
      </w:pPr>
      <w:r>
        <w:rPr>
          <w:rFonts w:ascii="Calibri" w:hAnsi="Calibri"/>
          <w:color w:val="334155"/>
          <w:sz w:val="20"/>
        </w:rPr>
        <w:t>Esta es una pregunta de nivel avanzado con la que puedes deslumbrar al docente demostrando dominio de arquitectura de software y bajo nivel.</w:t>
      </w:r>
    </w:p>
    <w:p>
      <w:pPr>
        <w:keepNext/>
        <w:spacing w:before="280" w:after="80"/>
      </w:pPr>
      <w:r>
        <w:rPr>
          <w:rFonts w:ascii="Calibri" w:hAnsi="Calibri"/>
          <w:b/>
          <w:color w:val="0284C7"/>
          <w:sz w:val="26"/>
        </w:rPr>
        <w:t>6.1 El Problema Ocurrido</w:t>
      </w:r>
    </w:p>
    <w:p>
      <w:pPr>
        <w:spacing w:before="40" w:after="80" w:line="276" w:lineRule="auto"/>
      </w:pPr>
      <w:r>
        <w:rPr>
          <w:rFonts w:ascii="Calibri" w:hAnsi="Calibri"/>
          <w:color w:val="334155"/>
          <w:sz w:val="20"/>
        </w:rPr>
        <w:t>Al invocar 'from skimage.measure import label' o consultar 'reg.solidity', la ejecución se interrumpía con: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none"/>
              <w:left w:val="single" w:sz="24" w:space="0" w:color="0284C7"/>
              <w:bottom w:val="none"/>
              <w:right w:val="none"/>
            </w:tcBorders>
          </w:tcPr>
          <w:p>
            <w:pPr>
              <w:spacing w:before="40" w:after="40" w:line="252" w:lineRule="auto"/>
            </w:pPr>
            <w:r>
              <w:rPr>
                <w:rFonts w:ascii="Consolas" w:hAnsi="Consolas"/>
                <w:color w:val="0F172A"/>
                <w:sz w:val="17"/>
              </w:rPr>
              <w:t>ImportError: DLL load failed while importing _max_tree: Una directiva de Control de aplicaciones bloqueó este archivo.</w:t>
            </w:r>
          </w:p>
        </w:tc>
      </w:tr>
    </w:tbl>
    <w:p>
      <w:pPr>
        <w:spacing w:after="80"/>
      </w:pPr>
    </w:p>
    <w:p>
      <w:pPr>
        <w:spacing w:before="40" w:after="80" w:line="276" w:lineRule="auto"/>
      </w:pPr>
      <w:r>
        <w:rPr>
          <w:rFonts w:ascii="Calibri" w:hAnsi="Calibri"/>
          <w:color w:val="334155"/>
          <w:sz w:val="20"/>
        </w:rPr>
        <w:t>Causa: Windows Defender Application Control / AppLocker bloquea librerías dinámicas compiled en C/C++ (_max_tree.pyd) instaladas en el directorio del usuario por políticas de seguridad del sistema operativo.</w:t>
      </w:r>
    </w:p>
    <w:p>
      <w:pPr>
        <w:keepNext/>
        <w:spacing w:before="280" w:after="80"/>
      </w:pPr>
      <w:r>
        <w:rPr>
          <w:rFonts w:ascii="Calibri" w:hAnsi="Calibri"/>
          <w:b/>
          <w:color w:val="0284C7"/>
          <w:sz w:val="26"/>
        </w:rPr>
        <w:t>6.2 La Solución de Ingeniería Implementada</w:t>
      </w:r>
    </w:p>
    <w:p>
      <w:pPr>
        <w:spacing w:before="40" w:after="80" w:line="276" w:lineRule="auto"/>
      </w:pPr>
      <w:r>
        <w:rPr>
          <w:rFonts w:ascii="Calibri" w:hAnsi="Calibri"/>
          <w:color w:val="334155"/>
          <w:sz w:val="20"/>
        </w:rPr>
        <w:t>1. Sustitución por SciPy: Se reemplazó el etiquetado por 'scipy.ndimage.label(mascara, structure=np.ones((3, 3)))'. SciPy utiliza funciones de morfología matemática en C estándar de alta eficiencia que no dependen de la DLL bloqueada, manteniendo compatibilidad total con 'skimage.measure.regionprops'.</w:t>
      </w:r>
    </w:p>
    <w:p>
      <w:pPr>
        <w:spacing w:before="40" w:after="80" w:line="276" w:lineRule="auto"/>
      </w:pPr>
      <w:r>
        <w:rPr>
          <w:rFonts w:ascii="Calibri" w:hAnsi="Calibri"/>
          <w:color w:val="334155"/>
          <w:sz w:val="20"/>
        </w:rPr>
        <w:t>2. Fallback con OpenCV: Para el cálculo de solidez (solidity = area / convex_area), en lugar de llamar al convex hull de skimage que cargaba _max_tree, se implementó un fallback que calcula el polígono convexo mediante 'cv2.convexHull()' de OpenCV:</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none"/>
              <w:left w:val="single" w:sz="24" w:space="0" w:color="0284C7"/>
              <w:bottom w:val="none"/>
              <w:right w:val="none"/>
            </w:tcBorders>
          </w:tcPr>
          <w:p>
            <w:pPr>
              <w:spacing w:before="40" w:after="40" w:line="252" w:lineRule="auto"/>
            </w:pPr>
            <w:r>
              <w:rPr>
                <w:rFonts w:ascii="Consolas" w:hAnsi="Consolas"/>
                <w:color w:val="0F172A"/>
                <w:sz w:val="17"/>
              </w:rPr>
              <w:t>try:</w:t>
              <w:br/>
              <w:t xml:space="preserve">    sol_val = round(float(reg.solidity), 3)</w:t>
              <w:br/>
              <w:t>except (ImportError, Exception):</w:t>
              <w:br/>
              <w:t xml:space="preserve">    coords = reg.coords</w:t>
              <w:br/>
              <w:t xml:space="preserve">    pts = np.ascontiguousarray(coords[:, [1, 0]], dtype=np.int32)</w:t>
              <w:br/>
              <w:t xml:space="preserve">    hull = cv2.convexHull(pts)</w:t>
              <w:br/>
              <w:t xml:space="preserve">    hull_area = cv2.contourArea(hull)</w:t>
              <w:br/>
              <w:t xml:space="preserve">    sol_val = round(float(reg.area / hull_area), 3) if hull_area &gt; 0 else 1.0</w:t>
            </w:r>
          </w:p>
        </w:tc>
      </w:tr>
    </w:tbl>
    <w:p>
      <w:pPr>
        <w:spacing w:after="80"/>
      </w:pPr>
    </w:p>
    <w:p>
      <w:pPr>
        <w:keepNext/>
        <w:spacing w:before="360" w:after="120"/>
      </w:pPr>
      <w:r>
        <w:rPr>
          <w:rFonts w:ascii="Calibri" w:hAnsi="Calibri"/>
          <w:b/>
          <w:color w:val="0F172A"/>
          <w:sz w:val="32"/>
        </w:rPr>
        <w:t>7. Interfaz Interactiva en Streamlit (app.py)</w:t>
      </w:r>
    </w:p>
    <w:p>
      <w:pPr>
        <w:spacing w:before="40" w:after="80" w:line="276" w:lineRule="auto"/>
      </w:pPr>
      <w:r>
        <w:rPr>
          <w:rFonts w:ascii="Calibri" w:hAnsi="Calibri"/>
          <w:color w:val="334155"/>
          <w:sz w:val="20"/>
        </w:rPr>
        <w:t>El archivo 'app.py' orquesta todo el sistema en una aplicación web interactiva:</w:t>
      </w:r>
    </w:p>
    <w:p>
      <w:pPr>
        <w:spacing w:before="40" w:after="80" w:line="276" w:lineRule="auto"/>
      </w:pPr>
      <w:r>
        <w:rPr>
          <w:rFonts w:ascii="Calibri" w:hAnsi="Calibri"/>
          <w:color w:val="334155"/>
          <w:sz w:val="20"/>
        </w:rPr>
        <w:t>• Arquitectura Modular: 8 pestañas temáticas (Resumen, Taxonomía S3, A* S4, Híbrido S5, Representaciones S7, Reconocimiento IA S8, Visión Canny/Otsu S9, y Texturas LBP S10).</w:t>
      </w:r>
    </w:p>
    <w:p>
      <w:pPr>
        <w:spacing w:before="40" w:after="80" w:line="276" w:lineRule="auto"/>
      </w:pPr>
      <w:r>
        <w:rPr>
          <w:rFonts w:ascii="Calibri" w:hAnsi="Calibri"/>
          <w:color w:val="334155"/>
          <w:sz w:val="20"/>
        </w:rPr>
        <w:t>• Controles Dinámicos: Sliders interactivos de sigma (σ), umbral manual vs Otsu automático, y filtro de área mínima en tiempo real.</w:t>
      </w:r>
    </w:p>
    <w:p>
      <w:pPr>
        <w:spacing w:before="40" w:after="80" w:line="276" w:lineRule="auto"/>
      </w:pPr>
      <w:r>
        <w:rPr>
          <w:rFonts w:ascii="Calibri" w:hAnsi="Calibri"/>
          <w:color w:val="334155"/>
          <w:sz w:val="20"/>
        </w:rPr>
        <w:t>• Visualización Científica: Matplotlib integrado con paleta slate oscura, tablas interactivas de regiones y métricas en vivo (st.metric).</w:t>
      </w:r>
    </w:p>
    <w:p>
      <w:pPr>
        <w:keepNext/>
        <w:spacing w:before="360" w:after="120"/>
      </w:pPr>
      <w:r>
        <w:rPr>
          <w:rFonts w:ascii="Calibri" w:hAnsi="Calibri"/>
          <w:b/>
          <w:color w:val="0F172A"/>
          <w:sz w:val="32"/>
        </w:rPr>
        <w:t>8. Tabla Maestra de Respuesta Rápida a Preguntas Trampa del Docente</w:t>
      </w:r>
    </w:p>
    <w:tbl>
      <w:tblPr>
        <w:tblW w:type="auto" w:w="0"/>
        <w:jc w:val="center"/>
        <w:tblLayout w:type="fixed"/>
        <w:tblLook w:firstColumn="1" w:firstRow="1" w:lastColumn="0" w:lastRow="0" w:noHBand="0" w:noVBand="1" w:val="04A0"/>
      </w:tblPr>
      <w:tblGrid>
        <w:gridCol w:w="4680"/>
        <w:gridCol w:w="4680"/>
      </w:tblGrid>
      <w:tr>
        <w:tc>
          <w:tcPr>
            <w:tcW w:type="dxa" w:w="2880"/>
            <w:shd w:fill="1E293B"/>
            <w:tcMar>
              <w:top w:w="90" w:type="dxa"/>
              <w:bottom w:w="90" w:type="dxa"/>
              <w:left w:w="110" w:type="dxa"/>
              <w:right w:w="110" w:type="dxa"/>
            </w:tcMar>
          </w:tcPr>
          <w:p>
            <w:pPr>
              <w:spacing w:before="40" w:after="40"/>
              <w:jc w:val="center"/>
            </w:pPr>
            <w:r>
              <w:rPr>
                <w:rFonts w:ascii="Calibri" w:hAnsi="Calibri"/>
                <w:b/>
                <w:color w:val="FFFFFF"/>
                <w:sz w:val="19"/>
              </w:rPr>
              <w:t>Posible Pregunta / Modificación del Docente</w:t>
            </w:r>
          </w:p>
        </w:tc>
        <w:tc>
          <w:tcPr>
            <w:tcW w:type="dxa" w:w="6480"/>
            <w:shd w:fill="1E293B"/>
            <w:tcMar>
              <w:top w:w="90" w:type="dxa"/>
              <w:bottom w:w="90" w:type="dxa"/>
              <w:left w:w="110" w:type="dxa"/>
              <w:right w:w="110" w:type="dxa"/>
            </w:tcMar>
          </w:tcPr>
          <w:p>
            <w:pPr>
              <w:spacing w:before="40" w:after="40"/>
              <w:jc w:val="center"/>
            </w:pPr>
            <w:r>
              <w:rPr>
                <w:rFonts w:ascii="Calibri" w:hAnsi="Calibri"/>
                <w:b/>
                <w:color w:val="FFFFFF"/>
                <w:sz w:val="19"/>
              </w:rPr>
              <w:t>Respuesta Técnica Precisa y Rápida</w:t>
            </w:r>
          </w:p>
        </w:tc>
      </w:tr>
      <w:tr>
        <w:tc>
          <w:tcPr>
            <w:tcW w:type="dxa" w:w="2880"/>
            <w:shd w:fill="FFFFFF"/>
            <w:tcMar>
              <w:top w:w="70" w:type="dxa"/>
              <w:bottom w:w="70" w:type="dxa"/>
              <w:left w:w="100" w:type="dxa"/>
              <w:right w:w="100" w:type="dxa"/>
            </w:tcMar>
          </w:tcPr>
          <w:p>
            <w:pPr>
              <w:spacing w:before="20" w:after="20"/>
            </w:pPr>
            <w:r>
              <w:rPr>
                <w:rFonts w:ascii="Calibri" w:hAnsi="Calibri"/>
                <w:color w:val="334155"/>
                <w:sz w:val="18"/>
              </w:rPr>
              <w:t>'¿Por qué tu vector es de 49 dimensiones y no de 50 o 100?'</w:t>
            </w:r>
          </w:p>
        </w:tc>
        <w:tc>
          <w:tcPr>
            <w:tcW w:type="dxa" w:w="6480"/>
            <w:shd w:fill="FFFFFF"/>
            <w:tcMar>
              <w:top w:w="70" w:type="dxa"/>
              <w:bottom w:w="70" w:type="dxa"/>
              <w:left w:w="100" w:type="dxa"/>
              <w:right w:w="100" w:type="dxa"/>
            </w:tcMar>
          </w:tcPr>
          <w:p>
            <w:pPr>
              <w:spacing w:before="20" w:after="20"/>
            </w:pPr>
            <w:r>
              <w:rPr>
                <w:rFonts w:ascii="Calibri" w:hAnsi="Calibri"/>
                <w:color w:val="334155"/>
                <w:sz w:val="18"/>
              </w:rPr>
              <w:t>Porque concatena estrictamente: 7 métricas morfométricas de regiones + 32 bins del histograma de intensidad de grises + 10 bins del histograma LBP uniforme (7 + 32 + 10 = 49).</w:t>
            </w:r>
          </w:p>
        </w:tc>
      </w:tr>
      <w:tr>
        <w:tc>
          <w:tcPr>
            <w:tcW w:type="dxa" w:w="2880"/>
            <w:shd w:fill="F8FAFC"/>
            <w:tcMar>
              <w:top w:w="70" w:type="dxa"/>
              <w:bottom w:w="70" w:type="dxa"/>
              <w:left w:w="100" w:type="dxa"/>
              <w:right w:w="100" w:type="dxa"/>
            </w:tcMar>
          </w:tcPr>
          <w:p>
            <w:pPr>
              <w:spacing w:before="20" w:after="20"/>
            </w:pPr>
            <w:r>
              <w:rPr>
                <w:rFonts w:ascii="Calibri" w:hAnsi="Calibri"/>
                <w:color w:val="334155"/>
                <w:sz w:val="18"/>
              </w:rPr>
              <w:t>'Quita la línea threshold_otsu y pon un número fijo, ¿qué pasa?'</w:t>
            </w:r>
          </w:p>
        </w:tc>
        <w:tc>
          <w:tcPr>
            <w:tcW w:type="dxa" w:w="6480"/>
            <w:shd w:fill="F8FAFC"/>
            <w:tcMar>
              <w:top w:w="70" w:type="dxa"/>
              <w:bottom w:w="70" w:type="dxa"/>
              <w:left w:w="100" w:type="dxa"/>
              <w:right w:w="100" w:type="dxa"/>
            </w:tcMar>
          </w:tcPr>
          <w:p>
            <w:pPr>
              <w:spacing w:before="20" w:after="20"/>
            </w:pPr>
            <w:r>
              <w:rPr>
                <w:rFonts w:ascii="Calibri" w:hAnsi="Calibri"/>
                <w:color w:val="334155"/>
                <w:sz w:val="18"/>
              </w:rPr>
              <w:t>El sistema pierde adaptabilidad. Si la iluminación del taller cambia (día nublado o lámpara encendida), un número fijo sub-segmentará o sobre-segmentará; Otsu adapta el umbral óptimo a la distribución lumínica en cada foto.</w:t>
            </w:r>
          </w:p>
        </w:tc>
      </w:tr>
      <w:tr>
        <w:tc>
          <w:tcPr>
            <w:tcW w:type="dxa" w:w="2880"/>
            <w:shd w:fill="FFFFFF"/>
            <w:tcMar>
              <w:top w:w="70" w:type="dxa"/>
              <w:bottom w:w="70" w:type="dxa"/>
              <w:left w:w="100" w:type="dxa"/>
              <w:right w:w="100" w:type="dxa"/>
            </w:tcMar>
          </w:tcPr>
          <w:p>
            <w:pPr>
              <w:spacing w:before="20" w:after="20"/>
            </w:pPr>
            <w:r>
              <w:rPr>
                <w:rFonts w:ascii="Calibri" w:hAnsi="Calibri"/>
                <w:color w:val="334155"/>
                <w:sz w:val="18"/>
              </w:rPr>
              <w:t>'¿Por qué en LBP se usa R=1 y P=8?'</w:t>
            </w:r>
          </w:p>
        </w:tc>
        <w:tc>
          <w:tcPr>
            <w:tcW w:type="dxa" w:w="6480"/>
            <w:shd w:fill="FFFFFF"/>
            <w:tcMar>
              <w:top w:w="70" w:type="dxa"/>
              <w:bottom w:w="70" w:type="dxa"/>
              <w:left w:w="100" w:type="dxa"/>
              <w:right w:w="100" w:type="dxa"/>
            </w:tcMar>
          </w:tcPr>
          <w:p>
            <w:pPr>
              <w:spacing w:before="20" w:after="20"/>
            </w:pPr>
            <w:r>
              <w:rPr>
                <w:rFonts w:ascii="Calibri" w:hAnsi="Calibri"/>
                <w:color w:val="334155"/>
                <w:sz w:val="18"/>
              </w:rPr>
              <w:t>Son los parámetros estándar canónicos: 8 vecinos en un radio de 1 píxel capturan la micro-textura inmediata adyacente. Un radio mayor capturaría macro-patrones espaciales pero perdería bordes finos de roscas.</w:t>
            </w:r>
          </w:p>
        </w:tc>
      </w:tr>
      <w:tr>
        <w:tc>
          <w:tcPr>
            <w:tcW w:type="dxa" w:w="2880"/>
            <w:shd w:fill="F8FAFC"/>
            <w:tcMar>
              <w:top w:w="70" w:type="dxa"/>
              <w:bottom w:w="70" w:type="dxa"/>
              <w:left w:w="100" w:type="dxa"/>
              <w:right w:w="100" w:type="dxa"/>
            </w:tcMar>
          </w:tcPr>
          <w:p>
            <w:pPr>
              <w:spacing w:before="20" w:after="20"/>
            </w:pPr>
            <w:r>
              <w:rPr>
                <w:rFonts w:ascii="Calibri" w:hAnsi="Calibri"/>
                <w:color w:val="334155"/>
                <w:sz w:val="18"/>
              </w:rPr>
              <w:t>'¿Dónde se guarda el vector y cómo lo usarías en producción?'</w:t>
            </w:r>
          </w:p>
        </w:tc>
        <w:tc>
          <w:tcPr>
            <w:tcW w:type="dxa" w:w="6480"/>
            <w:shd w:fill="F8FAFC"/>
            <w:tcMar>
              <w:top w:w="70" w:type="dxa"/>
              <w:bottom w:w="70" w:type="dxa"/>
              <w:left w:w="100" w:type="dxa"/>
              <w:right w:w="100" w:type="dxa"/>
            </w:tcMar>
          </w:tcPr>
          <w:p>
            <w:pPr>
              <w:spacing w:before="20" w:after="20"/>
            </w:pPr>
            <w:r>
              <w:rPr>
                <w:rFonts w:ascii="Calibri" w:hAnsi="Calibri"/>
                <w:color w:val="334155"/>
                <w:sz w:val="18"/>
              </w:rPr>
              <w:t>Se guarda en 'artifacts/semana10_features.npy'. En producción, este vector se ingresa al modelo entrenado de la Semana 8 para identificar la pieza en la cinta transportadora del taller.</w:t>
            </w:r>
          </w:p>
        </w:tc>
      </w:tr>
      <w:tr>
        <w:tc>
          <w:tcPr>
            <w:tcW w:type="dxa" w:w="2880"/>
            <w:shd w:fill="FFFFFF"/>
            <w:tcMar>
              <w:top w:w="70" w:type="dxa"/>
              <w:bottom w:w="70" w:type="dxa"/>
              <w:left w:w="100" w:type="dxa"/>
              <w:right w:w="100" w:type="dxa"/>
            </w:tcMar>
          </w:tcPr>
          <w:p>
            <w:pPr>
              <w:spacing w:before="20" w:after="20"/>
            </w:pPr>
            <w:r>
              <w:rPr>
                <w:rFonts w:ascii="Calibri" w:hAnsi="Calibri"/>
                <w:color w:val="334155"/>
                <w:sz w:val="18"/>
              </w:rPr>
              <w:t>'¿Por qué usas cv2.cvtColor(img, cv2.COLOR_BGR2RGB)?'</w:t>
            </w:r>
          </w:p>
        </w:tc>
        <w:tc>
          <w:tcPr>
            <w:tcW w:type="dxa" w:w="6480"/>
            <w:shd w:fill="FFFFFF"/>
            <w:tcMar>
              <w:top w:w="70" w:type="dxa"/>
              <w:bottom w:w="70" w:type="dxa"/>
              <w:left w:w="100" w:type="dxa"/>
              <w:right w:w="100" w:type="dxa"/>
            </w:tcMar>
          </w:tcPr>
          <w:p>
            <w:pPr>
              <w:spacing w:before="20" w:after="20"/>
            </w:pPr>
            <w:r>
              <w:rPr>
                <w:rFonts w:ascii="Calibri" w:hAnsi="Calibri"/>
                <w:color w:val="334155"/>
                <w:sz w:val="18"/>
              </w:rPr>
              <w:t>OpenCV lee imágenes por defecto en canal BGR (Blue-Green-Red). Si no se convierte a RGB antes de pasarlo a Matplotlib o PIL, la imagen se vería con tonos azules y colores invertidos.</w:t>
            </w:r>
          </w:p>
        </w:tc>
      </w:tr>
      <w:tr>
        <w:tc>
          <w:tcPr>
            <w:tcW w:type="dxa" w:w="2880"/>
            <w:shd w:fill="F8FAFC"/>
            <w:tcMar>
              <w:top w:w="70" w:type="dxa"/>
              <w:bottom w:w="70" w:type="dxa"/>
              <w:left w:w="100" w:type="dxa"/>
              <w:right w:w="100" w:type="dxa"/>
            </w:tcMar>
          </w:tcPr>
          <w:p>
            <w:pPr>
              <w:spacing w:before="20" w:after="20"/>
            </w:pPr>
            <w:r>
              <w:rPr>
                <w:rFonts w:ascii="Calibri" w:hAnsi="Calibri"/>
                <w:color w:val="334155"/>
                <w:sz w:val="18"/>
              </w:rPr>
              <w:t>'¿Qué significa que una región tenga excentricidad 0?'</w:t>
            </w:r>
          </w:p>
        </w:tc>
        <w:tc>
          <w:tcPr>
            <w:tcW w:type="dxa" w:w="6480"/>
            <w:shd w:fill="F8FAFC"/>
            <w:tcMar>
              <w:top w:w="70" w:type="dxa"/>
              <w:bottom w:w="70" w:type="dxa"/>
              <w:left w:w="100" w:type="dxa"/>
              <w:right w:w="100" w:type="dxa"/>
            </w:tcMar>
          </w:tcPr>
          <w:p>
            <w:pPr>
              <w:spacing w:before="20" w:after="20"/>
            </w:pPr>
            <w:r>
              <w:rPr>
                <w:rFonts w:ascii="Calibri" w:hAnsi="Calibri"/>
                <w:color w:val="334155"/>
                <w:sz w:val="18"/>
              </w:rPr>
              <w:t>Que la región conexa es un círculo perfecto (los semiejes son iguales). Si la excentricidad tiende a 1, la región es alargada como una línea elíptica.</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