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Naskah presentasi ARISE dalam bahasa Inggris</w:t>
      </w:r>
    </w:p>
    <w:p>
      <w:pPr>
        <w:pStyle w:val="Subtitle"/>
      </w:pPr>
      <w:r>
        <w:t>Panduan 16 slide untuk tim 003UI2026</w:t>
      </w:r>
    </w:p>
    <w:p>
      <w:r>
        <w:t>Naskah ini mengalir dari pertanyaan tentang El Nino menuju surplus kawasan, paparan impor, profil domestik, dan cara kerja ARISE. Pesan utamanya: kecukupan produksi regional masih memerlukan jalur perdagangan dan penyangga domestik yang mampu merespons gangguan.</w:t>
      </w:r>
    </w:p>
    <w:p>
      <w:r>
        <w:t>Bacakan hanya bagian Teks yang dibacakan pada setiap slide. Penjelasan berbahasa Indonesia adalah bahan memahami analisis dan menyiapkan jawaban. Target latihan 9 menit 40 detik, dengan cadangan 20 detik untuk jeda dan pergantian pembicara; sesi tanya jawab berada di luar durasi ini.</w:t>
      </w:r>
    </w:p>
    <w:p>
      <w:pPr>
        <w:pStyle w:val="Heading2"/>
      </w:pPr>
      <w:r>
        <w:t>Pembagian waktu latihan</w:t>
      </w:r>
    </w:p>
    <w:tbl>
      <w:tblPr>
        <w:tblStyle w:val="LightShading-Accent1"/>
        <w:tblW w:type="auto" w:w="0"/>
        <w:tblLook w:firstColumn="1" w:firstRow="1" w:lastColumn="0" w:lastRow="0" w:noHBand="0" w:noVBand="1" w:val="04A0"/>
      </w:tblPr>
      <w:tblGrid>
        <w:gridCol w:w="3251"/>
        <w:gridCol w:w="3251"/>
        <w:gridCol w:w="3251"/>
      </w:tblGrid>
      <w:tr>
        <w:trPr>
          <w:tblHeader/>
        </w:trPr>
        <w:tc>
          <w:tcPr>
            <w:tcW w:type="dxa" w:w="3251"/>
          </w:tcPr>
          <w:p>
            <w:pPr>
              <w:spacing w:after="40" w:before="40"/>
            </w:pPr>
            <w:r>
              <w:rPr>
                <w:b/>
                <w:sz w:val="18"/>
              </w:rPr>
              <w:t>Slide</w:t>
            </w:r>
          </w:p>
        </w:tc>
        <w:tc>
          <w:tcPr>
            <w:tcW w:type="dxa" w:w="3251"/>
          </w:tcPr>
          <w:p>
            <w:pPr>
              <w:spacing w:after="40" w:before="40"/>
            </w:pPr>
            <w:r>
              <w:rPr>
                <w:b/>
                <w:sz w:val="18"/>
              </w:rPr>
              <w:t>Fokus</w:t>
            </w:r>
          </w:p>
        </w:tc>
        <w:tc>
          <w:tcPr>
            <w:tcW w:type="dxa" w:w="3251"/>
          </w:tcPr>
          <w:p>
            <w:pPr>
              <w:spacing w:after="40" w:before="40"/>
            </w:pPr>
            <w:r>
              <w:rPr>
                <w:b/>
                <w:sz w:val="18"/>
              </w:rPr>
              <w:t>Waktu kumulatif</w:t>
            </w:r>
          </w:p>
        </w:tc>
      </w:tr>
      <w:tr>
        <w:tc>
          <w:tcPr>
            <w:tcW w:type="dxa" w:w="3251"/>
          </w:tcPr>
          <w:p>
            <w:pPr>
              <w:spacing w:after="40" w:before="40"/>
            </w:pPr>
            <w:r>
              <w:rPr>
                <w:b w:val="0"/>
                <w:sz w:val="18"/>
              </w:rPr>
              <w:t>1</w:t>
            </w:r>
          </w:p>
        </w:tc>
        <w:tc>
          <w:tcPr>
            <w:tcW w:type="dxa" w:w="3251"/>
          </w:tcPr>
          <w:p>
            <w:pPr>
              <w:spacing w:after="40" w:before="40"/>
            </w:pPr>
            <w:r>
              <w:rPr>
                <w:b w:val="0"/>
                <w:sz w:val="18"/>
              </w:rPr>
              <w:t>Judul infografis</w:t>
            </w:r>
          </w:p>
        </w:tc>
        <w:tc>
          <w:tcPr>
            <w:tcW w:type="dxa" w:w="3251"/>
          </w:tcPr>
          <w:p>
            <w:pPr>
              <w:spacing w:after="40" w:before="40"/>
            </w:pPr>
            <w:r>
              <w:rPr>
                <w:b w:val="0"/>
                <w:sz w:val="18"/>
              </w:rPr>
              <w:t>00:00–00:05</w:t>
            </w:r>
          </w:p>
        </w:tc>
      </w:tr>
      <w:tr>
        <w:tc>
          <w:tcPr>
            <w:tcW w:type="dxa" w:w="3251"/>
          </w:tcPr>
          <w:p>
            <w:pPr>
              <w:spacing w:after="40" w:before="40"/>
            </w:pPr>
            <w:r>
              <w:rPr>
                <w:b w:val="0"/>
                <w:sz w:val="18"/>
              </w:rPr>
              <w:t>2</w:t>
            </w:r>
          </w:p>
        </w:tc>
        <w:tc>
          <w:tcPr>
            <w:tcW w:type="dxa" w:w="3251"/>
          </w:tcPr>
          <w:p>
            <w:pPr>
              <w:spacing w:after="40" w:before="40"/>
            </w:pPr>
            <w:r>
              <w:rPr>
                <w:b w:val="0"/>
                <w:sz w:val="18"/>
              </w:rPr>
              <w:t>El Nino sebagai hook</w:t>
            </w:r>
          </w:p>
        </w:tc>
        <w:tc>
          <w:tcPr>
            <w:tcW w:type="dxa" w:w="3251"/>
          </w:tcPr>
          <w:p>
            <w:pPr>
              <w:spacing w:after="40" w:before="40"/>
            </w:pPr>
            <w:r>
              <w:rPr>
                <w:b w:val="0"/>
                <w:sz w:val="18"/>
              </w:rPr>
              <w:t>00:05–00:55</w:t>
            </w:r>
          </w:p>
        </w:tc>
      </w:tr>
      <w:tr>
        <w:tc>
          <w:tcPr>
            <w:tcW w:type="dxa" w:w="3251"/>
          </w:tcPr>
          <w:p>
            <w:pPr>
              <w:spacing w:after="40" w:before="40"/>
            </w:pPr>
            <w:r>
              <w:rPr>
                <w:b w:val="0"/>
                <w:sz w:val="18"/>
              </w:rPr>
              <w:t>3</w:t>
            </w:r>
          </w:p>
        </w:tc>
        <w:tc>
          <w:tcPr>
            <w:tcW w:type="dxa" w:w="3251"/>
          </w:tcPr>
          <w:p>
            <w:pPr>
              <w:spacing w:after="40" w:before="40"/>
            </w:pPr>
            <w:r>
              <w:rPr>
                <w:b w:val="0"/>
                <w:sz w:val="18"/>
              </w:rPr>
              <w:t>Perkenalan tim</w:t>
            </w:r>
          </w:p>
        </w:tc>
        <w:tc>
          <w:tcPr>
            <w:tcW w:type="dxa" w:w="3251"/>
          </w:tcPr>
          <w:p>
            <w:pPr>
              <w:spacing w:after="40" w:before="40"/>
            </w:pPr>
            <w:r>
              <w:rPr>
                <w:b w:val="0"/>
                <w:sz w:val="18"/>
              </w:rPr>
              <w:t>00:55–01:15</w:t>
            </w:r>
          </w:p>
        </w:tc>
      </w:tr>
      <w:tr>
        <w:tc>
          <w:tcPr>
            <w:tcW w:type="dxa" w:w="3251"/>
          </w:tcPr>
          <w:p>
            <w:pPr>
              <w:spacing w:after="40" w:before="40"/>
            </w:pPr>
            <w:r>
              <w:rPr>
                <w:b w:val="0"/>
                <w:sz w:val="18"/>
              </w:rPr>
              <w:t>4</w:t>
            </w:r>
          </w:p>
        </w:tc>
        <w:tc>
          <w:tcPr>
            <w:tcW w:type="dxa" w:w="3251"/>
          </w:tcPr>
          <w:p>
            <w:pPr>
              <w:spacing w:after="40" w:before="40"/>
            </w:pPr>
            <w:r>
              <w:rPr>
                <w:b w:val="0"/>
                <w:sz w:val="18"/>
              </w:rPr>
              <w:t>Surplus kawasan dan empat kesenjangan nasional</w:t>
            </w:r>
          </w:p>
        </w:tc>
        <w:tc>
          <w:tcPr>
            <w:tcW w:type="dxa" w:w="3251"/>
          </w:tcPr>
          <w:p>
            <w:pPr>
              <w:spacing w:after="40" w:before="40"/>
            </w:pPr>
            <w:r>
              <w:rPr>
                <w:b w:val="0"/>
                <w:sz w:val="18"/>
              </w:rPr>
              <w:t>01:15–02:00</w:t>
            </w:r>
          </w:p>
        </w:tc>
      </w:tr>
      <w:tr>
        <w:tc>
          <w:tcPr>
            <w:tcW w:type="dxa" w:w="3251"/>
          </w:tcPr>
          <w:p>
            <w:pPr>
              <w:spacing w:after="40" w:before="40"/>
            </w:pPr>
            <w:r>
              <w:rPr>
                <w:b w:val="0"/>
                <w:sz w:val="18"/>
              </w:rPr>
              <w:t>5</w:t>
            </w:r>
          </w:p>
        </w:tc>
        <w:tc>
          <w:tcPr>
            <w:tcW w:type="dxa" w:w="3251"/>
          </w:tcPr>
          <w:p>
            <w:pPr>
              <w:spacing w:after="40" w:before="40"/>
            </w:pPr>
            <w:r>
              <w:rPr>
                <w:b w:val="0"/>
                <w:sz w:val="18"/>
              </w:rPr>
              <w:t>Prakiraan El Nino dan makna probabilitas</w:t>
            </w:r>
          </w:p>
        </w:tc>
        <w:tc>
          <w:tcPr>
            <w:tcW w:type="dxa" w:w="3251"/>
          </w:tcPr>
          <w:p>
            <w:pPr>
              <w:spacing w:after="40" w:before="40"/>
            </w:pPr>
            <w:r>
              <w:rPr>
                <w:b w:val="0"/>
                <w:sz w:val="18"/>
              </w:rPr>
              <w:t>02:00–02:40</w:t>
            </w:r>
          </w:p>
        </w:tc>
      </w:tr>
      <w:tr>
        <w:tc>
          <w:tcPr>
            <w:tcW w:type="dxa" w:w="3251"/>
          </w:tcPr>
          <w:p>
            <w:pPr>
              <w:spacing w:after="40" w:before="40"/>
            </w:pPr>
            <w:r>
              <w:rPr>
                <w:b w:val="0"/>
                <w:sz w:val="18"/>
              </w:rPr>
              <w:t>6</w:t>
            </w:r>
          </w:p>
        </w:tc>
        <w:tc>
          <w:tcPr>
            <w:tcW w:type="dxa" w:w="3251"/>
          </w:tcPr>
          <w:p>
            <w:pPr>
              <w:spacing w:after="40" w:before="40"/>
            </w:pPr>
            <w:r>
              <w:rPr>
                <w:b w:val="0"/>
                <w:sz w:val="18"/>
              </w:rPr>
              <w:t>Variasi hasil panen pada El Nino terdahulu</w:t>
            </w:r>
          </w:p>
        </w:tc>
        <w:tc>
          <w:tcPr>
            <w:tcW w:type="dxa" w:w="3251"/>
          </w:tcPr>
          <w:p>
            <w:pPr>
              <w:spacing w:after="40" w:before="40"/>
            </w:pPr>
            <w:r>
              <w:rPr>
                <w:b w:val="0"/>
                <w:sz w:val="18"/>
              </w:rPr>
              <w:t>02:40–03:30</w:t>
            </w:r>
          </w:p>
        </w:tc>
      </w:tr>
      <w:tr>
        <w:tc>
          <w:tcPr>
            <w:tcW w:type="dxa" w:w="3251"/>
          </w:tcPr>
          <w:p>
            <w:pPr>
              <w:spacing w:after="40" w:before="40"/>
            </w:pPr>
            <w:r>
              <w:rPr>
                <w:b w:val="0"/>
                <w:sz w:val="18"/>
              </w:rPr>
              <w:t>7</w:t>
            </w:r>
          </w:p>
        </w:tc>
        <w:tc>
          <w:tcPr>
            <w:tcW w:type="dxa" w:w="3251"/>
          </w:tcPr>
          <w:p>
            <w:pPr>
              <w:spacing w:after="40" w:before="40"/>
            </w:pPr>
            <w:r>
              <w:rPr>
                <w:b w:val="0"/>
                <w:sz w:val="18"/>
              </w:rPr>
              <w:t>Pemasok utama negara defisit</w:t>
            </w:r>
          </w:p>
        </w:tc>
        <w:tc>
          <w:tcPr>
            <w:tcW w:type="dxa" w:w="3251"/>
          </w:tcPr>
          <w:p>
            <w:pPr>
              <w:spacing w:after="40" w:before="40"/>
            </w:pPr>
            <w:r>
              <w:rPr>
                <w:b w:val="0"/>
                <w:sz w:val="18"/>
              </w:rPr>
              <w:t>03:30–04:15</w:t>
            </w:r>
          </w:p>
        </w:tc>
      </w:tr>
      <w:tr>
        <w:tc>
          <w:tcPr>
            <w:tcW w:type="dxa" w:w="3251"/>
          </w:tcPr>
          <w:p>
            <w:pPr>
              <w:spacing w:after="40" w:before="40"/>
            </w:pPr>
            <w:r>
              <w:rPr>
                <w:b w:val="0"/>
                <w:sz w:val="18"/>
              </w:rPr>
              <w:t>8</w:t>
            </w:r>
          </w:p>
        </w:tc>
        <w:tc>
          <w:tcPr>
            <w:tcW w:type="dxa" w:w="3251"/>
          </w:tcPr>
          <w:p>
            <w:pPr>
              <w:spacing w:after="40" w:before="40"/>
            </w:pPr>
            <w:r>
              <w:rPr>
                <w:b w:val="0"/>
                <w:sz w:val="18"/>
              </w:rPr>
              <w:t>Hubungan produksi perdagangan dan cadangan</w:t>
            </w:r>
          </w:p>
        </w:tc>
        <w:tc>
          <w:tcPr>
            <w:tcW w:type="dxa" w:w="3251"/>
          </w:tcPr>
          <w:p>
            <w:pPr>
              <w:spacing w:after="40" w:before="40"/>
            </w:pPr>
            <w:r>
              <w:rPr>
                <w:b w:val="0"/>
                <w:sz w:val="18"/>
              </w:rPr>
              <w:t>04:15–04:40</w:t>
            </w:r>
          </w:p>
        </w:tc>
      </w:tr>
      <w:tr>
        <w:tc>
          <w:tcPr>
            <w:tcW w:type="dxa" w:w="3251"/>
          </w:tcPr>
          <w:p>
            <w:pPr>
              <w:spacing w:after="40" w:before="40"/>
            </w:pPr>
            <w:r>
              <w:rPr>
                <w:b w:val="0"/>
                <w:sz w:val="18"/>
              </w:rPr>
              <w:t>9</w:t>
            </w:r>
          </w:p>
        </w:tc>
        <w:tc>
          <w:tcPr>
            <w:tcW w:type="dxa" w:w="3251"/>
          </w:tcPr>
          <w:p>
            <w:pPr>
              <w:spacing w:after="40" w:before="40"/>
            </w:pPr>
            <w:r>
              <w:rPr>
                <w:b w:val="0"/>
                <w:sz w:val="18"/>
              </w:rPr>
              <w:t>Jumlah pemasok efektif dan kesenjangan produksi</w:t>
            </w:r>
          </w:p>
        </w:tc>
        <w:tc>
          <w:tcPr>
            <w:tcW w:type="dxa" w:w="3251"/>
          </w:tcPr>
          <w:p>
            <w:pPr>
              <w:spacing w:after="40" w:before="40"/>
            </w:pPr>
            <w:r>
              <w:rPr>
                <w:b w:val="0"/>
                <w:sz w:val="18"/>
              </w:rPr>
              <w:t>04:40–05:30</w:t>
            </w:r>
          </w:p>
        </w:tc>
      </w:tr>
      <w:tr>
        <w:tc>
          <w:tcPr>
            <w:tcW w:type="dxa" w:w="3251"/>
          </w:tcPr>
          <w:p>
            <w:pPr>
              <w:spacing w:after="40" w:before="40"/>
            </w:pPr>
            <w:r>
              <w:rPr>
                <w:b w:val="0"/>
                <w:sz w:val="18"/>
              </w:rPr>
              <w:t>10</w:t>
            </w:r>
          </w:p>
        </w:tc>
        <w:tc>
          <w:tcPr>
            <w:tcW w:type="dxa" w:w="3251"/>
          </w:tcPr>
          <w:p>
            <w:pPr>
              <w:spacing w:after="40" w:before="40"/>
            </w:pPr>
            <w:r>
              <w:rPr>
                <w:b w:val="0"/>
                <w:sz w:val="18"/>
              </w:rPr>
              <w:t>Tiga profil penyangga domestik</w:t>
            </w:r>
          </w:p>
        </w:tc>
        <w:tc>
          <w:tcPr>
            <w:tcW w:type="dxa" w:w="3251"/>
          </w:tcPr>
          <w:p>
            <w:pPr>
              <w:spacing w:after="40" w:before="40"/>
            </w:pPr>
            <w:r>
              <w:rPr>
                <w:b w:val="0"/>
                <w:sz w:val="18"/>
              </w:rPr>
              <w:t>05:30–06:30</w:t>
            </w:r>
          </w:p>
        </w:tc>
      </w:tr>
      <w:tr>
        <w:tc>
          <w:tcPr>
            <w:tcW w:type="dxa" w:w="3251"/>
          </w:tcPr>
          <w:p>
            <w:pPr>
              <w:spacing w:after="40" w:before="40"/>
            </w:pPr>
            <w:r>
              <w:rPr>
                <w:b w:val="0"/>
                <w:sz w:val="18"/>
              </w:rPr>
              <w:t>11</w:t>
            </w:r>
          </w:p>
        </w:tc>
        <w:tc>
          <w:tcPr>
            <w:tcW w:type="dxa" w:w="3251"/>
          </w:tcPr>
          <w:p>
            <w:pPr>
              <w:spacing w:after="40" w:before="40"/>
            </w:pPr>
            <w:r>
              <w:rPr>
                <w:b w:val="0"/>
                <w:sz w:val="18"/>
              </w:rPr>
              <w:t>Prioritas tindakan menurut profil</w:t>
            </w:r>
          </w:p>
        </w:tc>
        <w:tc>
          <w:tcPr>
            <w:tcW w:type="dxa" w:w="3251"/>
          </w:tcPr>
          <w:p>
            <w:pPr>
              <w:spacing w:after="40" w:before="40"/>
            </w:pPr>
            <w:r>
              <w:rPr>
                <w:b w:val="0"/>
                <w:sz w:val="18"/>
              </w:rPr>
              <w:t>06:30–07:10</w:t>
            </w:r>
          </w:p>
        </w:tc>
      </w:tr>
      <w:tr>
        <w:tc>
          <w:tcPr>
            <w:tcW w:type="dxa" w:w="3251"/>
          </w:tcPr>
          <w:p>
            <w:pPr>
              <w:spacing w:after="40" w:before="40"/>
            </w:pPr>
            <w:r>
              <w:rPr>
                <w:b w:val="0"/>
                <w:sz w:val="18"/>
              </w:rPr>
              <w:t>12</w:t>
            </w:r>
          </w:p>
        </w:tc>
        <w:tc>
          <w:tcPr>
            <w:tcW w:type="dxa" w:w="3251"/>
          </w:tcPr>
          <w:p>
            <w:pPr>
              <w:spacing w:after="40" w:before="40"/>
            </w:pPr>
            <w:r>
              <w:rPr>
                <w:b w:val="0"/>
                <w:sz w:val="18"/>
              </w:rPr>
              <w:t>ARISE dan kerangka RICE</w:t>
            </w:r>
          </w:p>
        </w:tc>
        <w:tc>
          <w:tcPr>
            <w:tcW w:type="dxa" w:w="3251"/>
          </w:tcPr>
          <w:p>
            <w:pPr>
              <w:spacing w:after="40" w:before="40"/>
            </w:pPr>
            <w:r>
              <w:rPr>
                <w:b w:val="0"/>
                <w:sz w:val="18"/>
              </w:rPr>
              <w:t>07:10–07:50</w:t>
            </w:r>
          </w:p>
        </w:tc>
      </w:tr>
      <w:tr>
        <w:tc>
          <w:tcPr>
            <w:tcW w:type="dxa" w:w="3251"/>
          </w:tcPr>
          <w:p>
            <w:pPr>
              <w:spacing w:after="40" w:before="40"/>
            </w:pPr>
            <w:r>
              <w:rPr>
                <w:b w:val="0"/>
                <w:sz w:val="18"/>
              </w:rPr>
              <w:t>13</w:t>
            </w:r>
          </w:p>
        </w:tc>
        <w:tc>
          <w:tcPr>
            <w:tcW w:type="dxa" w:w="3251"/>
          </w:tcPr>
          <w:p>
            <w:pPr>
              <w:spacing w:after="40" w:before="40"/>
            </w:pPr>
            <w:r>
              <w:rPr>
                <w:b w:val="0"/>
                <w:sz w:val="18"/>
              </w:rPr>
              <w:t>Contoh penggunaan dan skenario gangguan</w:t>
            </w:r>
          </w:p>
        </w:tc>
        <w:tc>
          <w:tcPr>
            <w:tcW w:type="dxa" w:w="3251"/>
          </w:tcPr>
          <w:p>
            <w:pPr>
              <w:spacing w:after="40" w:before="40"/>
            </w:pPr>
            <w:r>
              <w:rPr>
                <w:b w:val="0"/>
                <w:sz w:val="18"/>
              </w:rPr>
              <w:t>07:50–08:35</w:t>
            </w:r>
          </w:p>
        </w:tc>
      </w:tr>
      <w:tr>
        <w:tc>
          <w:tcPr>
            <w:tcW w:type="dxa" w:w="3251"/>
          </w:tcPr>
          <w:p>
            <w:pPr>
              <w:spacing w:after="40" w:before="40"/>
            </w:pPr>
            <w:r>
              <w:rPr>
                <w:b w:val="0"/>
                <w:sz w:val="18"/>
              </w:rPr>
              <w:t>14</w:t>
            </w:r>
          </w:p>
        </w:tc>
        <w:tc>
          <w:tcPr>
            <w:tcW w:type="dxa" w:w="3251"/>
          </w:tcPr>
          <w:p>
            <w:pPr>
              <w:spacing w:after="40" w:before="40"/>
            </w:pPr>
            <w:r>
              <w:rPr>
                <w:b w:val="0"/>
                <w:sz w:val="18"/>
              </w:rPr>
              <w:t>Kekuatan keterbatasan dan peluang ARISE</w:t>
            </w:r>
          </w:p>
        </w:tc>
        <w:tc>
          <w:tcPr>
            <w:tcW w:type="dxa" w:w="3251"/>
          </w:tcPr>
          <w:p>
            <w:pPr>
              <w:spacing w:after="40" w:before="40"/>
            </w:pPr>
            <w:r>
              <w:rPr>
                <w:b w:val="0"/>
                <w:sz w:val="18"/>
              </w:rPr>
              <w:t>08:35–09:05</w:t>
            </w:r>
          </w:p>
        </w:tc>
      </w:tr>
      <w:tr>
        <w:tc>
          <w:tcPr>
            <w:tcW w:type="dxa" w:w="3251"/>
          </w:tcPr>
          <w:p>
            <w:pPr>
              <w:spacing w:after="40" w:before="40"/>
            </w:pPr>
            <w:r>
              <w:rPr>
                <w:b w:val="0"/>
                <w:sz w:val="18"/>
              </w:rPr>
              <w:t>15</w:t>
            </w:r>
          </w:p>
        </w:tc>
        <w:tc>
          <w:tcPr>
            <w:tcW w:type="dxa" w:w="3251"/>
          </w:tcPr>
          <w:p>
            <w:pPr>
              <w:spacing w:after="40" w:before="40"/>
            </w:pPr>
            <w:r>
              <w:rPr>
                <w:b w:val="0"/>
                <w:sz w:val="18"/>
              </w:rPr>
              <w:t>Kesimpulan dan ajakan bertindak</w:t>
            </w:r>
          </w:p>
        </w:tc>
        <w:tc>
          <w:tcPr>
            <w:tcW w:type="dxa" w:w="3251"/>
          </w:tcPr>
          <w:p>
            <w:pPr>
              <w:spacing w:after="40" w:before="40"/>
            </w:pPr>
            <w:r>
              <w:rPr>
                <w:b w:val="0"/>
                <w:sz w:val="18"/>
              </w:rPr>
              <w:t>09:05–09:35</w:t>
            </w:r>
          </w:p>
        </w:tc>
      </w:tr>
      <w:tr>
        <w:tc>
          <w:tcPr>
            <w:tcW w:type="dxa" w:w="3251"/>
          </w:tcPr>
          <w:p>
            <w:pPr>
              <w:spacing w:after="40" w:before="40"/>
            </w:pPr>
            <w:r>
              <w:rPr>
                <w:b w:val="0"/>
                <w:sz w:val="18"/>
              </w:rPr>
              <w:t>16</w:t>
            </w:r>
          </w:p>
        </w:tc>
        <w:tc>
          <w:tcPr>
            <w:tcW w:type="dxa" w:w="3251"/>
          </w:tcPr>
          <w:p>
            <w:pPr>
              <w:spacing w:after="40" w:before="40"/>
            </w:pPr>
            <w:r>
              <w:rPr>
                <w:b w:val="0"/>
                <w:sz w:val="18"/>
              </w:rPr>
              <w:t>Penutup dan tanya jawab</w:t>
            </w:r>
          </w:p>
        </w:tc>
        <w:tc>
          <w:tcPr>
            <w:tcW w:type="dxa" w:w="3251"/>
          </w:tcPr>
          <w:p>
            <w:pPr>
              <w:spacing w:after="40" w:before="40"/>
            </w:pPr>
            <w:r>
              <w:rPr>
                <w:b w:val="0"/>
                <w:sz w:val="18"/>
              </w:rPr>
              <w:t>09:35–09:40</w:t>
            </w:r>
          </w:p>
        </w:tc>
      </w:tr>
    </w:tbl>
    <w:p>
      <w:r>
        <w:t>Jumlah teks lisan 1124 kata. Latihan dengan tempo sekitar 120–125 kata per menit, lalu gunakan jeda untuk menunjuk grafik. Ukur durasi latihan nyata; alokasi tabel bukan jaminan durasi suara.</w:t>
      </w:r>
    </w:p>
    <w:p>
      <w:r>
        <w:br w:type="page"/>
      </w:r>
    </w:p>
    <w:p>
      <w:pPr>
        <w:pStyle w:val="Heading1"/>
      </w:pPr>
      <w:r>
        <w:t>Slide 1 Judul infografis</w:t>
      </w:r>
    </w:p>
    <w:p>
      <w:r>
        <w:t>Penanda visual: ASEAN Has Enough Rice. Is It Ready for El Niño?</w:t>
      </w:r>
    </w:p>
    <w:p>
      <w:r>
        <w:rPr>
          <w:color w:val="777777"/>
          <w:sz w:val="18"/>
        </w:rPr>
        <w:t>Alokasi 5 detik   |   00:00–00:05   |   9 kata</w:t>
      </w:r>
    </w:p>
    <w:p>
      <w:pPr>
        <w:pStyle w:val="Heading2"/>
      </w:pPr>
      <w:r>
        <w:t>Teks yang dibacakan</w:t>
      </w:r>
    </w:p>
    <w:p>
      <w:pPr>
        <w:spacing w:line="264" w:lineRule="auto" w:after="140"/>
      </w:pPr>
      <w:r>
        <w:rPr>
          <w:rFonts w:ascii="Calibri" w:hAnsi="Calibri"/>
          <w:sz w:val="23"/>
          <w:lang w:val="en-US"/>
        </w:rPr>
        <w:t>Good morning, judges. Let me start with a question.</w:t>
      </w:r>
    </w:p>
    <w:p>
      <w:pPr>
        <w:pStyle w:val="Heading2"/>
      </w:pPr>
      <w:r>
        <w:t>Slide ini menjelaskan apa</w:t>
      </w:r>
    </w:p>
    <w:p>
      <w:r>
        <w:t>Menampilkan pertanyaan utama dan memberi waktu kepada audiens untuk membaca judul. Hook utama dimulai pada slide El Nino, sebelum perkenalan tim.</w:t>
      </w:r>
    </w:p>
    <w:p>
      <w:pPr>
        <w:pStyle w:val="Heading2"/>
      </w:pPr>
      <w:r>
        <w:t>Data yang dipakai</w:t>
      </w:r>
    </w:p>
    <w:p>
      <w:r>
        <w:t>Tidak menampilkan hasil analisis baru. Judul merangkum temuan surplus produksi regional dan pertanyaan tentang ketahanan pasokan.</w:t>
      </w:r>
    </w:p>
    <w:p>
      <w:pPr>
        <w:pStyle w:val="Heading2"/>
      </w:pPr>
      <w:r>
        <w:t>Detail metode dan batas interpretasi</w:t>
      </w:r>
    </w:p>
    <w:p>
      <w:r>
        <w:t>Sintesis pesan. Kata enough merujuk pada produksi dibanding penggunaan domestik, bukan jaminan distribusi, keterjangkauan harga, atau kecukupan pangan setiap rumah tangga.</w:t>
      </w:r>
    </w:p>
    <w:p>
      <w:pPr>
        <w:pStyle w:val="Heading2"/>
      </w:pPr>
      <w:r>
        <w:t>Sumber</w:t>
      </w:r>
    </w:p>
    <w:p>
      <w:r>
        <w:t>S1</w:t>
      </w:r>
    </w:p>
    <w:p>
      <w:pPr>
        <w:pStyle w:val="Heading2"/>
      </w:pPr>
      <w:r>
        <w:t>Arahan penyampaian</w:t>
      </w:r>
    </w:p>
    <w:p>
      <w:r>
        <w:t>Sapa juri singkat, kemudian langsung pindah ke slide El Nino. Perkenalan tim dilakukan setelah hook.</w:t>
      </w:r>
    </w:p>
    <w:p>
      <w:r>
        <w:br w:type="page"/>
      </w:r>
    </w:p>
    <w:p>
      <w:pPr>
        <w:pStyle w:val="Heading1"/>
      </w:pPr>
      <w:r>
        <w:t>Slide 2 El Nino sebagai hook</w:t>
      </w:r>
    </w:p>
    <w:p>
      <w:r>
        <w:t>Penanda visual: EL NINO?</w:t>
      </w:r>
    </w:p>
    <w:p>
      <w:r>
        <w:rPr>
          <w:color w:val="777777"/>
          <w:sz w:val="18"/>
        </w:rPr>
        <w:t>Alokasi 50 detik   |   00:05–00:55   |   86 kata</w:t>
      </w:r>
    </w:p>
    <w:p>
      <w:pPr>
        <w:pStyle w:val="Heading2"/>
      </w:pPr>
      <w:r>
        <w:t>Teks yang dibacakan</w:t>
      </w:r>
    </w:p>
    <w:p>
      <w:pPr>
        <w:spacing w:line="264" w:lineRule="auto" w:after="140"/>
      </w:pPr>
      <w:r>
        <w:rPr>
          <w:rFonts w:ascii="Calibri" w:hAnsi="Calibri"/>
          <w:sz w:val="23"/>
          <w:lang w:val="en-US"/>
        </w:rPr>
        <w:t>If our region has enough rice, why should we worry about running out?</w:t>
      </w:r>
    </w:p>
    <w:p>
      <w:pPr>
        <w:spacing w:line="264" w:lineRule="auto" w:after="140"/>
      </w:pPr>
      <w:r>
        <w:rPr>
          <w:rFonts w:ascii="Calibri" w:hAnsi="Calibri"/>
          <w:sz w:val="23"/>
          <w:lang w:val="en-US"/>
        </w:rPr>
        <w:t>Imagine that your country buys most of its rice from one country. Then a long dry season hurts the harvest there. There may still be rice somewhere else, but can it reach you in time?</w:t>
      </w:r>
    </w:p>
    <w:p>
      <w:pPr>
        <w:spacing w:line="264" w:lineRule="auto" w:after="140"/>
      </w:pPr>
      <w:r>
        <w:rPr>
          <w:rFonts w:ascii="Calibri" w:hAnsi="Calibri"/>
          <w:sz w:val="23"/>
          <w:lang w:val="en-US"/>
        </w:rPr>
        <w:t>This is why El Niño matters to both the countries growing rice and the countries buying it. A problem with one country's harvest can also affect its buyers.</w:t>
      </w:r>
    </w:p>
    <w:p>
      <w:pPr>
        <w:spacing w:line="264" w:lineRule="auto" w:after="140"/>
      </w:pPr>
      <w:r>
        <w:rPr>
          <w:rFonts w:ascii="Calibri" w:hAnsi="Calibri"/>
          <w:sz w:val="23"/>
          <w:lang w:val="en-US"/>
        </w:rPr>
        <w:t>So, when El Niño grows stronger, which countries are ready?</w:t>
      </w:r>
    </w:p>
    <w:p>
      <w:pPr>
        <w:pStyle w:val="Heading2"/>
      </w:pPr>
      <w:r>
        <w:t>Slide ini menjelaskan apa</w:t>
      </w:r>
    </w:p>
    <w:p>
      <w:r>
        <w:t>Membawa isu iklim ke pengalaman konkret tentang akses beras. Potongan berita berfungsi sebagai konteks perhatian publik, bukan sampel statistik atau bukti hubungan sebab akibat.</w:t>
      </w:r>
    </w:p>
    <w:p>
      <w:pPr>
        <w:pStyle w:val="Heading2"/>
      </w:pPr>
      <w:r>
        <w:t>Data yang dipakai</w:t>
      </w:r>
    </w:p>
    <w:p>
      <w:r>
        <w:t>Ilustrasi situasi pemasok merupakan skenario hipotetis. Slide berisi cuplikan berita lintas negara dan logo SDG 2 serta SDG 13, tanpa estimasi statistik baru.</w:t>
      </w:r>
    </w:p>
    <w:p>
      <w:pPr>
        <w:pStyle w:val="Heading2"/>
      </w:pPr>
      <w:r>
        <w:t>Detail metode dan batas interpretasi</w:t>
      </w:r>
    </w:p>
    <w:p>
      <w:r>
        <w:t>Hook memakai ilustrasi hipotetis tentang ketidakpastian pengiriman, lalu menghubungkannya dengan jalur pasokan. Tidak menambahkan estimasi dampak iklim. Kolase berita adalah konteks, bukan sampel statistik. Hindari menganggap seluruh berita dari tahun atau kejadian yang sama.</w:t>
      </w:r>
    </w:p>
    <w:p>
      <w:pPr>
        <w:pStyle w:val="Heading2"/>
      </w:pPr>
      <w:r>
        <w:t>Sumber</w:t>
      </w:r>
    </w:p>
    <w:p>
      <w:r>
        <w:t>S2; S9</w:t>
      </w:r>
    </w:p>
    <w:p>
      <w:pPr>
        <w:pStyle w:val="Heading2"/>
      </w:pPr>
      <w:r>
        <w:t>Arahan penyampaian</w:t>
      </w:r>
    </w:p>
    <w:p>
      <w:r>
        <w:t>Jeda dua detik setelah pertanyaan pertama. Ucapkan pertanyaan terakhir sambil menatap juri. Jangan membacakan judul berita pada kolase.</w:t>
      </w:r>
    </w:p>
    <w:p>
      <w:r>
        <w:br w:type="page"/>
      </w:r>
    </w:p>
    <w:p>
      <w:pPr>
        <w:pStyle w:val="Heading1"/>
      </w:pPr>
      <w:r>
        <w:t>Slide 3 Perkenalan tim</w:t>
      </w:r>
    </w:p>
    <w:p>
      <w:r>
        <w:t>Penanda visual: Team 003UI2026 NTAR MIKIR DULU</w:t>
      </w:r>
    </w:p>
    <w:p>
      <w:r>
        <w:rPr>
          <w:color w:val="777777"/>
          <w:sz w:val="18"/>
        </w:rPr>
        <w:t>Alokasi 20 detik   |   00:55–01:15   |   40 kata</w:t>
      </w:r>
    </w:p>
    <w:p>
      <w:pPr>
        <w:pStyle w:val="Heading2"/>
      </w:pPr>
      <w:r>
        <w:t>Teks yang dibacakan</w:t>
      </w:r>
    </w:p>
    <w:p>
      <w:pPr>
        <w:spacing w:line="264" w:lineRule="auto" w:after="140"/>
      </w:pPr>
      <w:r>
        <w:rPr>
          <w:rFonts w:ascii="Calibri" w:hAnsi="Calibri"/>
          <w:sz w:val="23"/>
          <w:lang w:val="en-US"/>
        </w:rPr>
        <w:t>We are Ntar Mikir Dulu, team zero zero three U I twenty twenty-six: Fariza Singgih I., Erin Josephine Manik, and M. Rafa Zulfikar.</w:t>
      </w:r>
    </w:p>
    <w:p>
      <w:pPr>
        <w:spacing w:line="264" w:lineRule="auto" w:after="140"/>
      </w:pPr>
      <w:r>
        <w:rPr>
          <w:rFonts w:ascii="Calibri" w:hAnsi="Calibri"/>
          <w:sz w:val="23"/>
          <w:lang w:val="en-US"/>
        </w:rPr>
        <w:t>We look at how rice grown, rice stored, and imports affect the rice supply of ten countries.</w:t>
      </w:r>
    </w:p>
    <w:p>
      <w:pPr>
        <w:pStyle w:val="Heading2"/>
      </w:pPr>
      <w:r>
        <w:t>Slide ini menjelaskan apa</w:t>
      </w:r>
    </w:p>
    <w:p>
      <w:r>
        <w:t>Memperkenalkan tim setelah hook, menyampaikan pertanyaan penelitian, dan menetapkan lingkup sepuluh negara yang dinilai. Tidak menyebut identitas institusi.</w:t>
      </w:r>
    </w:p>
    <w:p>
      <w:pPr>
        <w:pStyle w:val="Heading2"/>
      </w:pPr>
      <w:r>
        <w:t>Data yang dipakai</w:t>
      </w:r>
    </w:p>
    <w:p>
      <w:r>
        <w:t>Nama dan identitas tim sesuai slide Canva. Cakupan statistik adalah 10 negara dalam dataset AFSIS dan proyek.</w:t>
      </w:r>
    </w:p>
    <w:p>
      <w:pPr>
        <w:pStyle w:val="Heading2"/>
      </w:pPr>
      <w:r>
        <w:t>Detail metode dan batas interpretasi</w:t>
      </w:r>
    </w:p>
    <w:p>
      <w:r>
        <w:t>Tidak ada analisis baru. Sepuluh negara adalah cakupan data, bukan pernyataan jumlah anggota ASEAN. Nama pada naskah mengikuti nama yang tertulis di slide.</w:t>
      </w:r>
    </w:p>
    <w:p>
      <w:pPr>
        <w:pStyle w:val="Heading2"/>
      </w:pPr>
      <w:r>
        <w:t>Sumber</w:t>
      </w:r>
    </w:p>
    <w:p>
      <w:r>
        <w:t>S1</w:t>
      </w:r>
    </w:p>
    <w:p>
      <w:pPr>
        <w:pStyle w:val="Heading2"/>
      </w:pPr>
      <w:r>
        <w:t>Arahan penyampaian</w:t>
      </w:r>
    </w:p>
    <w:p>
      <w:r>
        <w:t>Sebut nama dengan jelas. Gunakan nama panggilan saat latihan hanya jika seluruh tim menyepakatinya.</w:t>
      </w:r>
    </w:p>
    <w:p>
      <w:r>
        <w:br w:type="page"/>
      </w:r>
    </w:p>
    <w:p>
      <w:pPr>
        <w:pStyle w:val="Heading1"/>
      </w:pPr>
      <w:r>
        <w:t>Slide 4 Surplus kawasan dan empat kesenjangan nasional</w:t>
      </w:r>
    </w:p>
    <w:p>
      <w:r>
        <w:t>Penanda visual: A REGIONAL SURPLUS, BUT FOUR NATIONAL GAPS</w:t>
      </w:r>
    </w:p>
    <w:p>
      <w:r>
        <w:rPr>
          <w:color w:val="777777"/>
          <w:sz w:val="18"/>
        </w:rPr>
        <w:t>Alokasi 45 detik   |   01:15–02:00   |   85 kata</w:t>
      </w:r>
    </w:p>
    <w:p>
      <w:pPr>
        <w:pStyle w:val="Heading2"/>
      </w:pPr>
      <w:r>
        <w:t>Teks yang dibacakan</w:t>
      </w:r>
    </w:p>
    <w:p>
      <w:pPr>
        <w:spacing w:line="264" w:lineRule="auto" w:after="140"/>
      </w:pPr>
      <w:r>
        <w:rPr>
          <w:rFonts w:ascii="Calibri" w:hAnsi="Calibri"/>
          <w:sz w:val="23"/>
          <w:lang w:val="en-US"/>
        </w:rPr>
        <w:t>Let's start with the rice we have. Based on AFSIS estimates for 2026, the ten countries will produce 123.55 percent of the rice they use. In other words, they will produce about 23.55 percent more than they use.</w:t>
      </w:r>
    </w:p>
    <w:p>
      <w:pPr>
        <w:spacing w:line="264" w:lineRule="auto" w:after="140"/>
      </w:pPr>
      <w:r>
        <w:rPr>
          <w:rFonts w:ascii="Calibri" w:hAnsi="Calibri"/>
          <w:sz w:val="23"/>
          <w:lang w:val="en-US"/>
        </w:rPr>
        <w:t>But look at the countries below the hundred-percent line: Brunei, Malaysia, the Philippines, and Singapore. They are expected to grow less rice than they use.</w:t>
      </w:r>
    </w:p>
    <w:p>
      <w:pPr>
        <w:spacing w:line="264" w:lineRule="auto" w:after="140"/>
      </w:pPr>
      <w:r>
        <w:rPr>
          <w:rFonts w:ascii="Calibri" w:hAnsi="Calibri"/>
          <w:sz w:val="23"/>
          <w:lang w:val="en-US"/>
        </w:rPr>
        <w:t>So, the region may have enough rice, while some countries still need to buy from others. Where does that rice come from?</w:t>
      </w:r>
    </w:p>
    <w:p>
      <w:pPr>
        <w:pStyle w:val="Heading2"/>
      </w:pPr>
      <w:r>
        <w:t>Slide ini menjelaskan apa</w:t>
      </w:r>
    </w:p>
    <w:p>
      <w:r>
        <w:t>Membedakan kecukupan produksi agregat dengan kemampuan produksi tiap negara. Grafik berpusat pada ambang SSR 100 persen.</w:t>
      </w:r>
    </w:p>
    <w:p>
      <w:pPr>
        <w:pStyle w:val="Heading2"/>
      </w:pPr>
      <w:r>
        <w:t>Data yang dipakai</w:t>
      </w:r>
    </w:p>
    <w:p>
      <w:r>
        <w:t>AFSIS proyeksi 2026: produksi regional 136.129.670,65 ton dan penggunaan domestik 110.182.912,88 ton. SSR Brunei 9,38%; Malaysia 46,98%; Filipina 73,21%; Singapura 0%.</w:t>
      </w:r>
    </w:p>
    <w:p>
      <w:pPr>
        <w:pStyle w:val="Heading2"/>
      </w:pPr>
      <w:r>
        <w:t>Detail metode dan batas interpretasi</w:t>
      </w:r>
    </w:p>
    <w:p>
      <w:r>
        <w:t>SSR = produksi beras giling / penggunaan domestik x 100%. SSR regional dihitung dari jumlah produksi dibagi jumlah penggunaan, bukan rata-rata sederhana SSR negara. Selisih 23,55% memakai penggunaan sebagai penyebut, bukan pertumbuhan produksi tahunan.</w:t>
      </w:r>
    </w:p>
    <w:p>
      <w:pPr>
        <w:pStyle w:val="Heading2"/>
      </w:pPr>
      <w:r>
        <w:t>Sumber</w:t>
      </w:r>
    </w:p>
    <w:p>
      <w:r>
        <w:t>S1</w:t>
      </w:r>
    </w:p>
    <w:p>
      <w:pPr>
        <w:pStyle w:val="Heading2"/>
      </w:pPr>
      <w:r>
        <w:t>Arahan penyampaian</w:t>
      </w:r>
    </w:p>
    <w:p>
      <w:r>
        <w:t>Tunjuk garis 100 persen dan empat negara defisit. Cukup ucapkan angka regional, tanpa membacakan semua batang.</w:t>
      </w:r>
    </w:p>
    <w:p>
      <w:r>
        <w:br w:type="page"/>
      </w:r>
    </w:p>
    <w:p>
      <w:pPr>
        <w:pStyle w:val="Heading1"/>
      </w:pPr>
      <w:r>
        <w:t>Slide 5 Prakiraan El Nino dan makna probabilitas</w:t>
      </w:r>
    </w:p>
    <w:p>
      <w:r>
        <w:t>Penanda visual: EL NIÑO IS ALREADY HERE, HOW STRONG IT BECOMES?</w:t>
      </w:r>
    </w:p>
    <w:p>
      <w:r>
        <w:rPr>
          <w:color w:val="777777"/>
          <w:sz w:val="18"/>
        </w:rPr>
        <w:t>Alokasi 40 detik   |   02:00–02:40   |   78 kata</w:t>
      </w:r>
    </w:p>
    <w:p>
      <w:pPr>
        <w:pStyle w:val="Heading2"/>
      </w:pPr>
      <w:r>
        <w:t>Teks yang dibacakan</w:t>
      </w:r>
    </w:p>
    <w:p>
      <w:pPr>
        <w:spacing w:line="264" w:lineRule="auto" w:after="140"/>
      </w:pPr>
      <w:r>
        <w:rPr>
          <w:rFonts w:ascii="Calibri" w:hAnsi="Calibri"/>
          <w:sz w:val="23"/>
          <w:lang w:val="en-US"/>
        </w:rPr>
        <w:t>Now, let's look at the weather. Our infographic uses NOAA's August 2026 forecast. It gives a hundred-percent chance of El Niño for December 2026 to February 2027, and an 82-percent chance for March to May 2027.</w:t>
      </w:r>
    </w:p>
    <w:p>
      <w:pPr>
        <w:spacing w:line="264" w:lineRule="auto" w:after="140"/>
      </w:pPr>
      <w:r>
        <w:rPr>
          <w:rFonts w:ascii="Calibri" w:hAnsi="Calibri"/>
          <w:sz w:val="23"/>
          <w:lang w:val="en-US"/>
        </w:rPr>
        <w:t>It also gives more than a 90-percent chance of a very strong El Niño for some of the autumn and winter periods shown.</w:t>
      </w:r>
    </w:p>
    <w:p>
      <w:pPr>
        <w:spacing w:line="264" w:lineRule="auto" w:after="140"/>
      </w:pPr>
      <w:r>
        <w:rPr>
          <w:rFonts w:ascii="Calibri" w:hAnsi="Calibri"/>
          <w:sz w:val="23"/>
          <w:lang w:val="en-US"/>
        </w:rPr>
        <w:t>These numbers describe El Niño. They do not mean that crops will certainly fail. Let's look at past harvests.</w:t>
      </w:r>
    </w:p>
    <w:p>
      <w:pPr>
        <w:pStyle w:val="Heading2"/>
      </w:pPr>
      <w:r>
        <w:t>Slide ini menjelaskan apa</w:t>
      </w:r>
    </w:p>
    <w:p>
      <w:r>
        <w:t>Menunjukkan panjang periode kewaspadaan sekaligus membedakan peluang fenomena iklim dari peluang kerugian pertanian.</w:t>
      </w:r>
    </w:p>
    <w:p>
      <w:pPr>
        <w:pStyle w:val="Heading2"/>
      </w:pPr>
      <w:r>
        <w:t>Data yang dipakai</w:t>
      </w:r>
    </w:p>
    <w:p>
      <w:r>
        <w:t>Snapshot prakiraan NOAA Agustus 2026 yang sudah digunakan dalam infografis. Peluang El Nino DJF 2026–27 = 100%, MAM 2027 = 82%; peluang sangat kuat di atas 90% pada sebagian musim gugur/dingin yang ditampilkan arsip.</w:t>
      </w:r>
    </w:p>
    <w:p>
      <w:pPr>
        <w:pStyle w:val="Heading2"/>
      </w:pPr>
      <w:r>
        <w:t>Detail metode dan batas interpretasi</w:t>
      </w:r>
    </w:p>
    <w:p>
      <w:r>
        <w:t>Ambil peluang dari satu edisi prakiraan yang sama. DJF = Desember–Januari–Februari; MAM = Maret–April–Mei. Peluang El Nino dan peluang intensitas sangat kuat adalah kategori berbeda. Peluang fenomena iklim tidak sama dengan peluang gagal panen. Sebut edisi Agustus agar angka arsip tidak terdengar sebagai pembaruan langsung.</w:t>
      </w:r>
    </w:p>
    <w:p>
      <w:pPr>
        <w:pStyle w:val="Heading2"/>
      </w:pPr>
      <w:r>
        <w:t>Sumber</w:t>
      </w:r>
    </w:p>
    <w:p>
      <w:r>
        <w:t>S2</w:t>
      </w:r>
    </w:p>
    <w:p>
      <w:pPr>
        <w:pStyle w:val="Heading2"/>
      </w:pPr>
      <w:r>
        <w:t>Arahan penyampaian</w:t>
      </w:r>
    </w:p>
    <w:p>
      <w:r>
        <w:t>Sebut August 2026 dengan jelas. Jangan memperbarui angka lisan memakai edisi lain sementara visual tetap memakai arsip Agustus.</w:t>
      </w:r>
    </w:p>
    <w:p>
      <w:r>
        <w:br w:type="page"/>
      </w:r>
    </w:p>
    <w:p>
      <w:pPr>
        <w:pStyle w:val="Heading1"/>
      </w:pPr>
      <w:r>
        <w:t>Slide 6 Variasi hasil panen pada El Nino terdahulu</w:t>
      </w:r>
    </w:p>
    <w:p>
      <w:r>
        <w:t>Penanda visual: WHICH PRODUCERS HAVE STRUGGLED DURING PAST EL NIÑOS?</w:t>
      </w:r>
    </w:p>
    <w:p>
      <w:r>
        <w:rPr>
          <w:color w:val="777777"/>
          <w:sz w:val="18"/>
        </w:rPr>
        <w:t>Alokasi 50 detik   |   02:40–03:30   |   90 kata</w:t>
      </w:r>
    </w:p>
    <w:p>
      <w:pPr>
        <w:pStyle w:val="Heading2"/>
      </w:pPr>
      <w:r>
        <w:t>Teks yang dibacakan</w:t>
      </w:r>
    </w:p>
    <w:p>
      <w:pPr>
        <w:spacing w:line="264" w:lineRule="auto" w:after="140"/>
      </w:pPr>
      <w:r>
        <w:rPr>
          <w:rFonts w:ascii="Calibri" w:hAnsi="Calibri"/>
          <w:sz w:val="23"/>
          <w:lang w:val="en-US"/>
        </w:rPr>
        <w:t>This chart looks at how much rice was grown on the same amount of land. We compare it with each country's long-term trend, or its pattern over time. The numbers here are for the year when each El Niño event was strongest.</w:t>
      </w:r>
    </w:p>
    <w:p>
      <w:pPr>
        <w:spacing w:line="264" w:lineRule="auto" w:after="140"/>
      </w:pPr>
      <w:r>
        <w:rPr>
          <w:rFonts w:ascii="Calibri" w:hAnsi="Calibri"/>
          <w:sz w:val="23"/>
          <w:lang w:val="en-US"/>
        </w:rPr>
        <w:t>For 1997–98, seven of the eight countries are below that trend. Indonesia is a little above it, at 0.4 percent. The other events show different results across countries.</w:t>
      </w:r>
    </w:p>
    <w:p>
      <w:pPr>
        <w:spacing w:line="264" w:lineRule="auto" w:after="140"/>
      </w:pPr>
      <w:r>
        <w:rPr>
          <w:rFonts w:ascii="Calibri" w:hAnsi="Calibri"/>
          <w:sz w:val="23"/>
          <w:lang w:val="en-US"/>
        </w:rPr>
        <w:t>So, countries do not all show the same pattern. This does not prove that El Niño alone caused those changes.</w:t>
      </w:r>
    </w:p>
    <w:p>
      <w:pPr>
        <w:pStyle w:val="Heading2"/>
      </w:pPr>
      <w:r>
        <w:t>Slide ini menjelaskan apa</w:t>
      </w:r>
    </w:p>
    <w:p>
      <w:r>
        <w:t>Menunjukkan variasi anomali produktivitas padi antarnegara dan episode. Angka pada PNG sesuai panel tahun puncak dalam keluaran notebook, bukan rata-rata sepanjang episode.</w:t>
      </w:r>
    </w:p>
    <w:p>
      <w:pPr>
        <w:pStyle w:val="Heading2"/>
      </w:pPr>
      <w:r>
        <w:t>Data yang dipakai</w:t>
      </w:r>
    </w:p>
    <w:p>
      <w:r>
        <w:t>FAO melalui Our World in Data, yield tahunan 1990–2024, ton/ha, delapan produsen. Episode dideteksi dari RONI NOAA. PNG menampilkan 1997–98, 2002–03, dan 2004–05; tahun puncaknya masing-masing 1997, 2002, dan 2004. Baris 1997–98: Kamboja −1,4%; Indonesia +0,4%; Laos −2,3%; Malaysia −2,4%; Myanmar −5,6%; Filipina −3,9%; Thailand −4,7%; Vietnam −2,1%.</w:t>
      </w:r>
    </w:p>
    <w:p>
      <w:pPr>
        <w:pStyle w:val="Heading2"/>
      </w:pPr>
      <w:r>
        <w:t>Detail metode dan batas interpretasi</w:t>
      </w:r>
    </w:p>
    <w:p>
      <w:r>
        <w:t>Notebook membersihkan RONI dan mengurutkan musim tiga bulanan. Episode hangat adalah RONI ≥ 0,5°C selama minimal lima musim berturut-turut; tahun puncak diambil dari musim dengan RONI maksimum. Untuk setiap negara, np.polyfit derajat 2 memasang tren yield terhadap tahun terpusat selama 1990–2024. Anomali tahunan = 100 × (yield aktual / yield tren − 1). Visual PNG cocok dengan Peak_Year_Anomaly pada sel kode 20 dan panel Peak-year anomaly dalam Heatmap_Timing_Sensitivity.svg. Label 1997–98 adalah nama episode, tetapi nilainya memakai tahun puncak 1997. Ini analisis deskriptif, tanpa identifikasi efek kausal El Nino.</w:t>
      </w:r>
    </w:p>
    <w:p>
      <w:pPr>
        <w:pStyle w:val="Heading2"/>
      </w:pPr>
      <w:r>
        <w:t>Sumber</w:t>
      </w:r>
    </w:p>
    <w:p>
      <w:r>
        <w:t>S3; S4; N1</w:t>
      </w:r>
    </w:p>
    <w:p>
      <w:pPr>
        <w:pStyle w:val="Heading2"/>
      </w:pPr>
      <w:r>
        <w:t>Arahan penyampaian</w:t>
      </w:r>
    </w:p>
    <w:p>
      <w:r>
        <w:t>Ucapkan peak year dan seven of the eight dengan jelas. Jangan menyebut delapan negara semuanya negatif atau rerata −4,71% sambil menunjuk grafik ini.</w:t>
      </w:r>
    </w:p>
    <w:p>
      <w:r>
        <w:br w:type="page"/>
      </w:r>
    </w:p>
    <w:p>
      <w:pPr>
        <w:pStyle w:val="Heading1"/>
      </w:pPr>
      <w:r>
        <w:t>Slide 7 Pemasok utama negara defisit</w:t>
      </w:r>
    </w:p>
    <w:p>
      <w:r>
        <w:t>Penanda visual: WHO SUPPLIES THE RICE-DEFICIT COUNTRIES?</w:t>
      </w:r>
    </w:p>
    <w:p>
      <w:r>
        <w:rPr>
          <w:color w:val="777777"/>
          <w:sz w:val="18"/>
        </w:rPr>
        <w:t>Alokasi 45 detik   |   03:30–04:15   |   85 kata</w:t>
      </w:r>
    </w:p>
    <w:p>
      <w:pPr>
        <w:pStyle w:val="Heading2"/>
      </w:pPr>
      <w:r>
        <w:t>Teks yang dibacakan</w:t>
      </w:r>
    </w:p>
    <w:p>
      <w:pPr>
        <w:spacing w:line="264" w:lineRule="auto" w:after="140"/>
      </w:pPr>
      <w:r>
        <w:rPr>
          <w:rFonts w:ascii="Calibri" w:hAnsi="Calibri"/>
          <w:sz w:val="23"/>
          <w:lang w:val="en-US"/>
        </w:rPr>
        <w:t>When a country grows less rice than it uses, it can buy rice from other countries. But where it buys that rice also matters.</w:t>
      </w:r>
    </w:p>
    <w:p>
      <w:pPr>
        <w:spacing w:line="264" w:lineRule="auto" w:after="140"/>
      </w:pPr>
      <w:r>
        <w:rPr>
          <w:rFonts w:ascii="Calibri" w:hAnsi="Calibri"/>
          <w:sz w:val="23"/>
          <w:lang w:val="en-US"/>
        </w:rPr>
        <w:t>In the 2024 data, Vietnam provides about 74.4 percent of the Philippines' rice imports. Thailand provides 62.3 percent of Brunei's. Malaysia buys the largest share from Vietnam, at 40.6 percent. Singapore buys the largest share from India, at 35.3 percent.</w:t>
      </w:r>
    </w:p>
    <w:p>
      <w:pPr>
        <w:spacing w:line="264" w:lineRule="auto" w:after="140"/>
      </w:pPr>
      <w:r>
        <w:rPr>
          <w:rFonts w:ascii="Calibri" w:hAnsi="Calibri"/>
          <w:sz w:val="23"/>
          <w:lang w:val="en-US"/>
        </w:rPr>
        <w:t>If most rice imports come from one supplier, a problem there can affect many of those imports. Can other suppliers help?</w:t>
      </w:r>
    </w:p>
    <w:p>
      <w:pPr>
        <w:pStyle w:val="Heading2"/>
      </w:pPr>
      <w:r>
        <w:t>Slide ini menjelaskan apa</w:t>
      </w:r>
    </w:p>
    <w:p>
      <w:r>
        <w:t>Menunjukkan struktur pemasok, bukan hanya besarnya impor. Pangsa besar satu pemasok menandakan paparan pada gangguan pemasok tersebut, tanpa membuktikan gangguan pasti terjadi.</w:t>
      </w:r>
    </w:p>
    <w:p>
      <w:pPr>
        <w:pStyle w:val="Heading2"/>
      </w:pPr>
      <w:r>
        <w:t>Data yang dipakai</w:t>
      </w:r>
    </w:p>
    <w:p>
      <w:r>
        <w:t>UN Comtrade 2024, HS 1006, impor menurut berat bersih. Filipina dari Vietnam 74,42%; Brunei dari Thailand 62,32%; Malaysia dari Vietnam 40,56%; Singapura dari India 35,26%.</w:t>
      </w:r>
    </w:p>
    <w:p>
      <w:pPr>
        <w:pStyle w:val="Heading2"/>
      </w:pPr>
      <w:r>
        <w:t>Detail metode dan batas interpretasi</w:t>
      </w:r>
    </w:p>
    <w:p>
      <w:r>
        <w:t>Notebook membaca CSV dengan index_col=False, memeriksa tahun 2024, Import, HS 1006, dan kilogram. Pisahkan baris World dari rincian mitra; gabungkan mitra yang sama dan ambil berat positif. Total rincian mitra cocok dengan World untuk keempat reporter. Pangsa = berat mitra / jumlah berat seluruh mitra × 100%. Konversi kg ke ton dengan membagi 1.000. Other hanya pengelompokan visual; ambang tampil pemasok 3% pada minimal satu reporter, label segmen minimal 5%.</w:t>
      </w:r>
    </w:p>
    <w:p>
      <w:pPr>
        <w:pStyle w:val="Heading2"/>
      </w:pPr>
      <w:r>
        <w:t>Sumber</w:t>
      </w:r>
    </w:p>
    <w:p>
      <w:r>
        <w:t>S5; N2</w:t>
      </w:r>
    </w:p>
    <w:p>
      <w:pPr>
        <w:pStyle w:val="Heading2"/>
      </w:pPr>
      <w:r>
        <w:t>Arahan penyampaian</w:t>
      </w:r>
    </w:p>
    <w:p>
      <w:r>
        <w:t>Tunjuk Filipina sebagai contoh utama. Tiga negara lain cukup disebut singkat untuk menunjukkan perbedaannya.</w:t>
      </w:r>
    </w:p>
    <w:p>
      <w:r>
        <w:br w:type="page"/>
      </w:r>
    </w:p>
    <w:p>
      <w:pPr>
        <w:pStyle w:val="Heading1"/>
      </w:pPr>
      <w:r>
        <w:t>Slide 8 Hubungan produksi perdagangan dan cadangan</w:t>
      </w:r>
    </w:p>
    <w:p>
      <w:r>
        <w:t>Penanda visual: ENOUGH RICE DOES NOT ALWAYS MEAN A RESILIENT RICE SYSTEM</w:t>
      </w:r>
    </w:p>
    <w:p>
      <w:r>
        <w:rPr>
          <w:color w:val="777777"/>
          <w:sz w:val="18"/>
        </w:rPr>
        <w:t>Alokasi 25 detik   |   04:15–04:40   |   50 kata</w:t>
      </w:r>
    </w:p>
    <w:p>
      <w:pPr>
        <w:pStyle w:val="Heading2"/>
      </w:pPr>
      <w:r>
        <w:t>Teks yang dibacakan</w:t>
      </w:r>
    </w:p>
    <w:p>
      <w:pPr>
        <w:spacing w:line="264" w:lineRule="auto" w:after="140"/>
      </w:pPr>
      <w:r>
        <w:rPr>
          <w:rFonts w:ascii="Calibri" w:hAnsi="Calibri"/>
          <w:sz w:val="23"/>
          <w:lang w:val="en-US"/>
        </w:rPr>
        <w:t>These parts work together. Farms grow the rice. Trade brings it to countries that need more. Rice kept in storage can help when deliveries are late.</w:t>
      </w:r>
    </w:p>
    <w:p>
      <w:pPr>
        <w:spacing w:line="264" w:lineRule="auto" w:after="140"/>
      </w:pPr>
      <w:r>
        <w:rPr>
          <w:rFonts w:ascii="Calibri" w:hAnsi="Calibri"/>
          <w:sz w:val="23"/>
          <w:lang w:val="en-US"/>
        </w:rPr>
        <w:t>We look at two things separately: where four countries buy their rice imports, and how much rice ten countries grow and keep in storage.</w:t>
      </w:r>
    </w:p>
    <w:p>
      <w:pPr>
        <w:pStyle w:val="Heading2"/>
      </w:pPr>
      <w:r>
        <w:t>Slide ini menjelaskan apa</w:t>
      </w:r>
    </w:p>
    <w:p>
      <w:r>
        <w:t>Menjadi jembatan dari latar belakang ke analisis statistik. Menjelaskan mengapa kecukupan produksi dan ketahanan sistem merupakan pertanyaan yang berbeda.</w:t>
      </w:r>
    </w:p>
    <w:p>
      <w:pPr>
        <w:pStyle w:val="Heading2"/>
      </w:pPr>
      <w:r>
        <w:t>Data yang dipakai</w:t>
      </w:r>
    </w:p>
    <w:p>
      <w:r>
        <w:t>Sintesis temuan AFSIS dan UN Comtrade. Tidak ada indikator baru yang dihitung pada slide ini.</w:t>
      </w:r>
    </w:p>
    <w:p>
      <w:pPr>
        <w:pStyle w:val="Heading2"/>
      </w:pPr>
      <w:r>
        <w:t>Detail metode dan batas interpretasi</w:t>
      </w:r>
    </w:p>
    <w:p>
      <w:r>
        <w:t>Pisahkan analisis pemasok yang memiliki empat reporter dari analisis penyangga domestik dengan sepuluh negara. Tidak membangun skor gabungan atau model kausal. Indikator iklim dan konsentrasi pemasok tidak dimasukkan ke dua fitur clustering utama.</w:t>
      </w:r>
    </w:p>
    <w:p>
      <w:pPr>
        <w:pStyle w:val="Heading2"/>
      </w:pPr>
      <w:r>
        <w:t>Sumber</w:t>
      </w:r>
    </w:p>
    <w:p>
      <w:r>
        <w:t>S1; S5; N2; N4</w:t>
      </w:r>
    </w:p>
    <w:p>
      <w:pPr>
        <w:pStyle w:val="Heading2"/>
      </w:pPr>
      <w:r>
        <w:t>Arahan penyampaian</w:t>
      </w:r>
    </w:p>
    <w:p>
      <w:r>
        <w:t>Gunakan ikon sebagai alur penjelasan. Hindari mengulang seluruh angka dari slide 4 sampai 7.</w:t>
      </w:r>
    </w:p>
    <w:p>
      <w:r>
        <w:br w:type="page"/>
      </w:r>
    </w:p>
    <w:p>
      <w:pPr>
        <w:pStyle w:val="Heading1"/>
      </w:pPr>
      <w:r>
        <w:t>Slide 9 Jumlah pemasok efektif dan kesenjangan produksi</w:t>
      </w:r>
    </w:p>
    <w:p>
      <w:r>
        <w:t>Penanda visual: HOW MANY SUPPLIER OPTIONS REALLY MATTER?</w:t>
      </w:r>
    </w:p>
    <w:p>
      <w:r>
        <w:rPr>
          <w:color w:val="777777"/>
          <w:sz w:val="18"/>
        </w:rPr>
        <w:t>Alokasi 50 detik   |   04:40–05:30   |   92 kata</w:t>
      </w:r>
    </w:p>
    <w:p>
      <w:pPr>
        <w:pStyle w:val="Heading2"/>
      </w:pPr>
      <w:r>
        <w:t>Teks yang dibacakan</w:t>
      </w:r>
    </w:p>
    <w:p>
      <w:pPr>
        <w:spacing w:line="264" w:lineRule="auto" w:after="140"/>
      </w:pPr>
      <w:r>
        <w:rPr>
          <w:rFonts w:ascii="Calibri" w:hAnsi="Calibri"/>
          <w:sz w:val="23"/>
          <w:lang w:val="en-US"/>
        </w:rPr>
        <w:t>On this chart, higher points mean a larger gap between rice grown and rice used. Points further right mean more imports come from a few suppliers. Bigger circles mean more rice imports.</w:t>
      </w:r>
    </w:p>
    <w:p>
      <w:pPr>
        <w:spacing w:line="264" w:lineRule="auto" w:after="140"/>
      </w:pPr>
      <w:r>
        <w:rPr>
          <w:rFonts w:ascii="Calibri" w:hAnsi="Calibri"/>
          <w:sz w:val="23"/>
          <w:lang w:val="en-US"/>
        </w:rPr>
        <w:t>The Philippines has large imports and depends strongly on a few suppliers. Its value of 1.7 means its imports are spread out as if there were about 1.7 suppliers, each with the same share. It actually buys from more countries.</w:t>
      </w:r>
    </w:p>
    <w:p>
      <w:pPr>
        <w:spacing w:line="264" w:lineRule="auto" w:after="140"/>
      </w:pPr>
      <w:r>
        <w:rPr>
          <w:rFonts w:ascii="Calibri" w:hAnsi="Calibri"/>
          <w:sz w:val="23"/>
          <w:lang w:val="en-US"/>
        </w:rPr>
        <w:t>Singapore has a larger production gap, but buys from a wider mix of suppliers. We need to look at both.</w:t>
      </w:r>
    </w:p>
    <w:p>
      <w:pPr>
        <w:pStyle w:val="Heading2"/>
      </w:pPr>
      <w:r>
        <w:t>Slide ini menjelaskan apa</w:t>
      </w:r>
    </w:p>
    <w:p>
      <w:r>
        <w:t>Membandingkan kesenjangan produksi, konsentrasi pemasok dan skala impor. Grafik tidak menyertakan sensitivitas iklim sebagai sumbu atau skor, meskipun dokumen brainstorming pernah menyebutnya.</w:t>
      </w:r>
    </w:p>
    <w:p>
      <w:pPr>
        <w:pStyle w:val="Heading2"/>
      </w:pPr>
      <w:r>
        <w:t>Data yang dipakai</w:t>
      </w:r>
    </w:p>
    <w:p>
      <w:r>
        <w:t>Kesenjangan produksi 2026: Brunei 90,62%; Malaysia 53,02%; Filipina 26,79%; Singapura 100%. HHI 2024: Brunei 4.769,07; Malaysia 2.703,70; Filipina 5.781,70; Singapura 2.912,23. Pemasok efektif berturut-turut 2,10; 3,70; 1,73; 3,43. Volume impor 2024 memberi ukuran gelembung.</w:t>
      </w:r>
    </w:p>
    <w:p>
      <w:pPr>
        <w:pStyle w:val="Heading2"/>
      </w:pPr>
      <w:r>
        <w:t>Detail metode dan batas interpretasi</w:t>
      </w:r>
    </w:p>
    <w:p>
      <w:r>
        <w:t>Gabungkan tabel master AFSIS dan ringkasan HHI dengan nama negara, relasi satu ke satu; pilih empat negara dengan gap positif. Sumbu Y = max(0, 100 − SSR). HHI = 10.000 × jumlah kuadrat pangsa seluruh pemasok sebelum Other; jumlah pemasok efektif = 10.000/HHI. Garis putus-putus adalah median empat negara, bukan batas risiko resmi. Ukuran gelembung bersifat meningkat menurut volume: radius = 9 + 22 × akar(volume/volume maksimum), lalu luas = pi × radius². Karena ada radius minimum, perbandingan luas tidak sama persis dengan rasio volume. Grafik menggabungkan perdagangan 2024 dan proyeksi 2026 secara deskriptif.</w:t>
      </w:r>
    </w:p>
    <w:p>
      <w:pPr>
        <w:pStyle w:val="Heading2"/>
      </w:pPr>
      <w:r>
        <w:t>Sumber</w:t>
      </w:r>
    </w:p>
    <w:p>
      <w:r>
        <w:t>S1; S5; N2; N3</w:t>
      </w:r>
    </w:p>
    <w:p>
      <w:pPr>
        <w:pStyle w:val="Heading2"/>
      </w:pPr>
      <w:r>
        <w:t>Arahan penyampaian</w:t>
      </w:r>
    </w:p>
    <w:p>
      <w:r>
        <w:t>Jelaskan sumbu terlebih dahulu, lalu Filipina dan Singapura. Sebut larger bubbles indicate larger volumes; jangan mengatakan luasnya proporsional tepat terhadap volume.</w:t>
      </w:r>
    </w:p>
    <w:p>
      <w:r>
        <w:br w:type="page"/>
      </w:r>
    </w:p>
    <w:p>
      <w:pPr>
        <w:pStyle w:val="Heading1"/>
      </w:pPr>
      <w:r>
        <w:t>Slide 10 Tiga profil penyangga domestik</w:t>
      </w:r>
    </w:p>
    <w:p>
      <w:r>
        <w:t>Penanda visual: THREE DOMESTIC BUFFER PROFILES ACROSS ASEAN</w:t>
      </w:r>
    </w:p>
    <w:p>
      <w:r>
        <w:rPr>
          <w:color w:val="777777"/>
          <w:sz w:val="18"/>
        </w:rPr>
        <w:t>Alokasi 60 detik   |   05:30–06:30   |   110 kata</w:t>
      </w:r>
    </w:p>
    <w:p>
      <w:pPr>
        <w:pStyle w:val="Heading2"/>
      </w:pPr>
      <w:r>
        <w:t>Teks yang dibacakan</w:t>
      </w:r>
    </w:p>
    <w:p>
      <w:pPr>
        <w:spacing w:line="264" w:lineRule="auto" w:after="140"/>
      </w:pPr>
      <w:r>
        <w:rPr>
          <w:rFonts w:ascii="Calibri" w:hAnsi="Calibri"/>
          <w:sz w:val="23"/>
          <w:lang w:val="en-US"/>
        </w:rPr>
        <w:t>Next, we put the ten countries into groups. We use two measures: how much of their rice use is not covered by local production, and how much rice they have in storage at the start of the year, compared with use.</w:t>
      </w:r>
    </w:p>
    <w:p>
      <w:pPr>
        <w:spacing w:line="264" w:lineRule="auto" w:after="140"/>
      </w:pPr>
      <w:r>
        <w:rPr>
          <w:rFonts w:ascii="Calibri" w:hAnsi="Calibri"/>
          <w:sz w:val="23"/>
          <w:lang w:val="en-US"/>
        </w:rPr>
        <w:t>We put the measures on a common scale. The Ward method groups countries with similar data. We compare two, three, and four groups, then choose three based on our checks.</w:t>
      </w:r>
    </w:p>
    <w:p>
      <w:pPr>
        <w:spacing w:line="264" w:lineRule="auto" w:after="140"/>
      </w:pPr>
      <w:r>
        <w:rPr>
          <w:rFonts w:ascii="Calibri" w:hAnsi="Calibri"/>
          <w:sz w:val="23"/>
          <w:lang w:val="en-US"/>
        </w:rPr>
        <w:t>Brunei and Singapore have large gaps and limited stocks in the data. Six countries form the middle group. Thailand and Myanmar produce more than they use and have larger stocks.</w:t>
      </w:r>
    </w:p>
    <w:p>
      <w:pPr>
        <w:spacing w:line="264" w:lineRule="auto" w:after="140"/>
      </w:pPr>
      <w:r>
        <w:rPr>
          <w:rFonts w:ascii="Calibri" w:hAnsi="Calibri"/>
          <w:sz w:val="23"/>
          <w:lang w:val="en-US"/>
        </w:rPr>
        <w:t>Even within one group, countries may need different actions.</w:t>
      </w:r>
    </w:p>
    <w:p>
      <w:pPr>
        <w:pStyle w:val="Heading2"/>
      </w:pPr>
      <w:r>
        <w:t>Slide ini menjelaskan apa</w:t>
      </w:r>
    </w:p>
    <w:p>
      <w:r>
        <w:t>Mengubah dua indikator penyangga domestik menjadi tiga profil yang mudah dibaca. Klaster menggambarkan kemiripan pada indikator terpilih, bukan urutan pasti negara paling aman sampai paling berbahaya.</w:t>
      </w:r>
    </w:p>
    <w:p>
      <w:pPr>
        <w:pStyle w:val="Heading2"/>
      </w:pPr>
      <w:r>
        <w:t>Data yang dipakai</w:t>
      </w:r>
    </w:p>
    <w:p>
      <w:r>
        <w:t>Sepuluh negara dengan data AFSIS 2026 lengkap. Fitur utama: Production_Shortfall_pct dan Beginning_Stock_to_Use_pct. Hasil k=3: silhouette 0,5278 dan Davies–Bouldin 0,4707. C1 = Brunei dan Singapura; C2 = Kamboja, Indonesia, Laos, Malaysia, Filipina, Vietnam; C3 = Myanmar dan Thailand.</w:t>
      </w:r>
    </w:p>
    <w:p>
      <w:pPr>
        <w:pStyle w:val="Heading2"/>
      </w:pPr>
      <w:r>
        <w:t>Detail metode dan batas interpretasi</w:t>
      </w:r>
    </w:p>
    <w:p>
      <w:r>
        <w:t>Hitung gap = max(0, 100 − 100 × produksi/penggunaan) dan stok = 100 × stok awal/penggunaan. RobustScaler mengurangi median lalu membagi IQR tiap fitur. AgglomerativeClustering dengan linkage Ward menggabungkan negara dengan kenaikan jumlah kuadrat penyimpangan dalam kelompok terkecil. Bandingkan k=2,3,4 memakai silhouette, Calinski–Harabasz dan Davies–Bouldin. Notebook memberi peringkat tiap metrik dan menjumlahkan peringkat; skor lebih kecil dipilih. k=3 memperoleh jumlah peringkat 5, dibanding 6 untuk k=2 dan 7 untuk k=4. Jadi k=3 adalah kompromi beberapa ukuran, bukan pemenang semua metrik. Profil akhir diringkas memakai rata-rata rasio tiap anggota.</w:t>
      </w:r>
    </w:p>
    <w:p>
      <w:pPr>
        <w:pStyle w:val="Heading2"/>
      </w:pPr>
      <w:r>
        <w:t>Sumber</w:t>
      </w:r>
    </w:p>
    <w:p>
      <w:r>
        <w:t>S1; S6; N4</w:t>
      </w:r>
    </w:p>
    <w:p>
      <w:pPr>
        <w:pStyle w:val="Heading2"/>
      </w:pPr>
      <w:r>
        <w:t>Arahan penyampaian</w:t>
      </w:r>
    </w:p>
    <w:p>
      <w:r>
        <w:t>Sebut dua fitur dan nama metode, lalu fokus pada makna kelompok. Angka tiga desimal sudah cukup. Kelompok tengah beragam, bukan semua anggotanya hampir swasembada.</w:t>
      </w:r>
    </w:p>
    <w:p>
      <w:r>
        <w:br w:type="page"/>
      </w:r>
    </w:p>
    <w:p>
      <w:pPr>
        <w:pStyle w:val="Heading1"/>
      </w:pPr>
      <w:r>
        <w:t>Slide 11 Prioritas tindakan menurut profil</w:t>
      </w:r>
    </w:p>
    <w:p>
      <w:r>
        <w:t>Penanda visual: WHAT ACTION FITS EACH COUNTRY?</w:t>
      </w:r>
    </w:p>
    <w:p>
      <w:r>
        <w:rPr>
          <w:color w:val="777777"/>
          <w:sz w:val="18"/>
        </w:rPr>
        <w:t>Alokasi 40 detik   |   06:30–07:10   |   87 kata</w:t>
      </w:r>
    </w:p>
    <w:p>
      <w:pPr>
        <w:pStyle w:val="Heading2"/>
      </w:pPr>
      <w:r>
        <w:t>Teks yang dibacakan</w:t>
      </w:r>
    </w:p>
    <w:p>
      <w:pPr>
        <w:spacing w:line="264" w:lineRule="auto" w:after="140"/>
      </w:pPr>
      <w:r>
        <w:rPr>
          <w:rFonts w:ascii="Calibri" w:hAnsi="Calibri"/>
          <w:sz w:val="23"/>
          <w:lang w:val="en-US"/>
        </w:rPr>
        <w:t>These groups help us suggest what each country could do. Countries with large gaps should plan their rice imports early, buy from more suppliers, and have backup plans.</w:t>
      </w:r>
    </w:p>
    <w:p>
      <w:pPr>
        <w:spacing w:line="264" w:lineRule="auto" w:after="140"/>
      </w:pPr>
      <w:r>
        <w:rPr>
          <w:rFonts w:ascii="Calibri" w:hAnsi="Calibri"/>
          <w:sz w:val="23"/>
          <w:lang w:val="en-US"/>
        </w:rPr>
        <w:t>For the middle group, we suggest protecting the next harvest and setting clear rules for using stored rice. Each country still needs to look at its own gap and stocks.</w:t>
      </w:r>
    </w:p>
    <w:p>
      <w:pPr>
        <w:spacing w:line="264" w:lineRule="auto" w:after="140"/>
      </w:pPr>
      <w:r>
        <w:rPr>
          <w:rFonts w:ascii="Calibri" w:hAnsi="Calibri"/>
          <w:sz w:val="23"/>
          <w:lang w:val="en-US"/>
        </w:rPr>
        <w:t>Thailand and Myanmar can support their buyers by protecting rice production and keeping trade routes open. These are suggestions. We have not yet tested how well they would work.</w:t>
      </w:r>
    </w:p>
    <w:p>
      <w:pPr>
        <w:pStyle w:val="Heading2"/>
      </w:pPr>
      <w:r>
        <w:t>Slide ini menjelaskan apa</w:t>
      </w:r>
    </w:p>
    <w:p>
      <w:r>
        <w:t>Menghubungkan profil statistik dengan usulan tindakan. Rekomendasi tidak merupakan hasil uji efektivitas kebijakan, dan tidak otomatis berlaku seragam untuk semua anggota klaster.</w:t>
      </w:r>
    </w:p>
    <w:p>
      <w:pPr>
        <w:pStyle w:val="Heading2"/>
      </w:pPr>
      <w:r>
        <w:t>Data yang dipakai</w:t>
      </w:r>
    </w:p>
    <w:p>
      <w:r>
        <w:t>Keanggotaan klaster dan indikator negara dari AFSIS, ditambah struktur impor empat negara dari UN Comtrade. Tidak ada data hasil pelaksanaan kebijakan dalam analisis ini.</w:t>
      </w:r>
    </w:p>
    <w:p>
      <w:pPr>
        <w:pStyle w:val="Heading2"/>
      </w:pPr>
      <w:r>
        <w:t>Detail metode dan batas interpretasi</w:t>
      </w:r>
    </w:p>
    <w:p>
      <w:r>
        <w:t>Tindakan diturunkan secara kualitatif dari profil yang sudah ditampilkan infografis. Prioritas impor perlu dicek pada negara, bukan hanya rata-rata klaster. Nama Near Balance adalah ringkasan rata-rata kelompok tengah; Malaysia tetap memiliki gap produksi besar. Rekomendasi bukan hasil pengujian dampak kebijakan.</w:t>
      </w:r>
    </w:p>
    <w:p>
      <w:pPr>
        <w:pStyle w:val="Heading2"/>
      </w:pPr>
      <w:r>
        <w:t>Sumber</w:t>
      </w:r>
    </w:p>
    <w:p>
      <w:r>
        <w:t>S1; S5; N4</w:t>
      </w:r>
    </w:p>
    <w:p>
      <w:pPr>
        <w:pStyle w:val="Heading2"/>
      </w:pPr>
      <w:r>
        <w:t>Arahan penyampaian</w:t>
      </w:r>
    </w:p>
    <w:p>
      <w:r>
        <w:t>Ucapkan prioritas, bukan instruksi otomatis. Hubungkan solusi dengan masalah konkret yang baru dijelaskan.</w:t>
      </w:r>
    </w:p>
    <w:p>
      <w:r>
        <w:br w:type="page"/>
      </w:r>
    </w:p>
    <w:p>
      <w:pPr>
        <w:pStyle w:val="Heading1"/>
      </w:pPr>
      <w:r>
        <w:t>Slide 12 ARISE dan kerangka RICE</w:t>
      </w:r>
    </w:p>
    <w:p>
      <w:r>
        <w:t>Penanda visual: ARISE HOW ARISE WORKS</w:t>
      </w:r>
    </w:p>
    <w:p>
      <w:r>
        <w:rPr>
          <w:color w:val="777777"/>
          <w:sz w:val="18"/>
        </w:rPr>
        <w:t>Alokasi 40 detik   |   07:10–07:50   |   79 kata</w:t>
      </w:r>
    </w:p>
    <w:p>
      <w:pPr>
        <w:pStyle w:val="Heading2"/>
      </w:pPr>
      <w:r>
        <w:t>Teks yang dibacakan</w:t>
      </w:r>
    </w:p>
    <w:p>
      <w:pPr>
        <w:spacing w:line="264" w:lineRule="auto" w:after="140"/>
      </w:pPr>
      <w:r>
        <w:rPr>
          <w:rFonts w:ascii="Calibri" w:hAnsi="Calibri"/>
          <w:sz w:val="23"/>
          <w:lang w:val="en-US"/>
        </w:rPr>
        <w:t>This brings us to ARISE: ASEAN Rice Intelligence for Supply Emergencies.</w:t>
      </w:r>
    </w:p>
    <w:p>
      <w:pPr>
        <w:spacing w:line="264" w:lineRule="auto" w:after="140"/>
      </w:pPr>
      <w:r>
        <w:rPr>
          <w:rFonts w:ascii="Calibri" w:hAnsi="Calibri"/>
          <w:sz w:val="23"/>
          <w:lang w:val="en-US"/>
        </w:rPr>
        <w:t>Its RICE check looks at the weather, the rice grown and stored in a country, and where its imports come from. It then shows how much of those imports could be lost in a chosen example.</w:t>
      </w:r>
    </w:p>
    <w:p>
      <w:pPr>
        <w:spacing w:line="264" w:lineRule="auto" w:after="140"/>
      </w:pPr>
      <w:r>
        <w:rPr>
          <w:rFonts w:ascii="Calibri" w:hAnsi="Calibri"/>
          <w:sz w:val="23"/>
          <w:lang w:val="en-US"/>
        </w:rPr>
        <w:t>In the tool we have now, weather data helps explain the situation. The calculation uses a possible fall in supply from the largest supplier.</w:t>
      </w:r>
    </w:p>
    <w:p>
      <w:pPr>
        <w:spacing w:line="264" w:lineRule="auto" w:after="140"/>
      </w:pPr>
      <w:r>
        <w:rPr>
          <w:rFonts w:ascii="Calibri" w:hAnsi="Calibri"/>
          <w:sz w:val="23"/>
          <w:lang w:val="en-US"/>
        </w:rPr>
        <w:t>This helps users understand the numbers and plan.</w:t>
      </w:r>
    </w:p>
    <w:p>
      <w:pPr>
        <w:pStyle w:val="Heading2"/>
      </w:pPr>
      <w:r>
        <w:t>Slide ini menjelaskan apa</w:t>
      </w:r>
    </w:p>
    <w:p>
      <w:r>
        <w:t>Memperkenalkan ARISE sebagai prototipe pendukung penilaian. RICE adalah kerangka pemeriksaan, bukan nama algoritme prediksi atau sistem peringatan dini yang sudah terbukti bekerja.</w:t>
      </w:r>
    </w:p>
    <w:p>
      <w:pPr>
        <w:pStyle w:val="Heading2"/>
      </w:pPr>
      <w:r>
        <w:t>Data yang dipakai</w:t>
      </w:r>
    </w:p>
    <w:p>
      <w:r>
        <w:t>Profil domestik 2026, perdagangan 2024, dan snapshot iklim NOAA Agustus 2026. Implementasi lokal memisahkan data iklim dari rumus simulasi pemasok.</w:t>
      </w:r>
    </w:p>
    <w:p>
      <w:pPr>
        <w:pStyle w:val="Heading2"/>
      </w:pPr>
      <w:r>
        <w:t>Detail metode dan batas interpretasi</w:t>
      </w:r>
    </w:p>
    <w:p>
      <w:r>
        <w:t>RICE adalah kerangka pemeriksaan. Implementasi climate-snapshot.json mencatat isLive=false dan useInScenarioCalculation=false. calculateScenario menggunakan total impor, pangsa pemasok terbesar, dan persen gangguan dari pengguna. Belum menggabungkan probabilitas gagal panen, harga, pengalihan pemasok, atau pelepasan stok secara dinamis. Tampilan penyangga domestik memberi konteks terpisah.</w:t>
      </w:r>
    </w:p>
    <w:p>
      <w:pPr>
        <w:pStyle w:val="Heading2"/>
      </w:pPr>
      <w:r>
        <w:t>Sumber</w:t>
      </w:r>
    </w:p>
    <w:p>
      <w:r>
        <w:t>S1; S2; S5; N5</w:t>
      </w:r>
    </w:p>
    <w:p>
      <w:pPr>
        <w:pStyle w:val="Heading2"/>
      </w:pPr>
      <w:r>
        <w:t>Arahan penyampaian</w:t>
      </w:r>
    </w:p>
    <w:p>
      <w:r>
        <w:t>Jelaskan kepanjangan ARISE sekali saja. Bedakan fungsi yang sudah tersedia dari arah pengembangan yang diusulkan.</w:t>
      </w:r>
    </w:p>
    <w:p>
      <w:r>
        <w:br w:type="page"/>
      </w:r>
    </w:p>
    <w:p>
      <w:pPr>
        <w:pStyle w:val="Heading1"/>
      </w:pPr>
      <w:r>
        <w:t>Slide 13 Contoh penggunaan dan skenario gangguan</w:t>
      </w:r>
    </w:p>
    <w:p>
      <w:r>
        <w:t>Penanda visual: TRY ARISE IN 4S</w:t>
      </w:r>
    </w:p>
    <w:p>
      <w:r>
        <w:rPr>
          <w:color w:val="777777"/>
          <w:sz w:val="18"/>
        </w:rPr>
        <w:t>Alokasi 45 detik   |   07:50–08:35   |   92 kata</w:t>
      </w:r>
    </w:p>
    <w:p>
      <w:pPr>
        <w:pStyle w:val="Heading2"/>
      </w:pPr>
      <w:r>
        <w:t>Teks yang dibacakan</w:t>
      </w:r>
    </w:p>
    <w:p>
      <w:pPr>
        <w:spacing w:line="264" w:lineRule="auto" w:after="140"/>
      </w:pPr>
      <w:r>
        <w:rPr>
          <w:rFonts w:ascii="Calibri" w:hAnsi="Calibri"/>
          <w:sz w:val="23"/>
          <w:lang w:val="en-US"/>
        </w:rPr>
        <w:t>ARISE has four steps: Select, Set, See, and Start. Choose a country, set a possible fall in supply from its largest supplier, look at the result, and start planning a response.</w:t>
      </w:r>
    </w:p>
    <w:p>
      <w:pPr>
        <w:spacing w:line="264" w:lineRule="auto" w:after="140"/>
      </w:pPr>
      <w:r>
        <w:rPr>
          <w:rFonts w:ascii="Calibri" w:hAnsi="Calibri"/>
          <w:sz w:val="23"/>
          <w:lang w:val="en-US"/>
        </w:rPr>
        <w:t>For example, what if Vietnam sends the Philippines half as much rice? Vietnam provides about 74.4 percent of its rice imports. In this example, about 37.2 percent of total imports could be lost.</w:t>
      </w:r>
    </w:p>
    <w:p>
      <w:pPr>
        <w:spacing w:line="264" w:lineRule="auto" w:after="140"/>
      </w:pPr>
      <w:r>
        <w:rPr>
          <w:rFonts w:ascii="Calibri" w:hAnsi="Calibri"/>
          <w:sz w:val="23"/>
          <w:lang w:val="en-US"/>
        </w:rPr>
        <w:t>This is a share of imports, not all the rice the country needs. Other suppliers and stored rice may help, but are not yet part of this calculation.</w:t>
      </w:r>
    </w:p>
    <w:p>
      <w:pPr>
        <w:pStyle w:val="Heading2"/>
      </w:pPr>
      <w:r>
        <w:t>Slide ini menjelaskan apa</w:t>
      </w:r>
    </w:p>
    <w:p>
      <w:r>
        <w:t>Menerangkan Select, Set, See, Start melalui contoh yang bisa dihitung langsung. Start berarti memulai persiapan atau membaca prompt tindakan, bukan aplikasi otomatis menjalankan kebijakan.</w:t>
      </w:r>
    </w:p>
    <w:p>
      <w:pPr>
        <w:pStyle w:val="Heading2"/>
      </w:pPr>
      <w:r>
        <w:t>Data yang dipakai</w:t>
      </w:r>
    </w:p>
    <w:p>
      <w:r>
        <w:t>Filipina 2024: total impor 4.770.088,65 ton; pangsa Vietnam 74,4229%. Gangguan 50% merupakan input skenario, bukan prakiraan NOAA atau perkiraan peluang gangguan.</w:t>
      </w:r>
    </w:p>
    <w:p>
      <w:pPr>
        <w:pStyle w:val="Heading2"/>
      </w:pPr>
      <w:r>
        <w:t>Detail metode dan batas interpretasi</w:t>
      </w:r>
    </w:p>
    <w:p>
      <w:r>
        <w:t>Ilustrasi langkah Set dari infografis, dengan gangguan hipotetis 50%, bukan prediksi. Impor terpapar = M × s × d; M adalah total impor 2024, s pangsa pemasok terbesar, d proporsi gangguan. Untuk Filipina: 4.770.088,65 × 0,744229 × 0,50 ≈ 1.775.020 ton; pangsa terpapar ≈ 37,21%. Impor tersisa = M − impor terpapar. Asumsi pemasok lain tetap; produksi dan stok tidak masuk rumus kehilangan impor. Ini elaborasi cara kerja simulator, bukan hasil empiris baru mengenai kekurangan nasional.</w:t>
      </w:r>
    </w:p>
    <w:p>
      <w:pPr>
        <w:pStyle w:val="Heading2"/>
      </w:pPr>
      <w:r>
        <w:t>Sumber</w:t>
      </w:r>
    </w:p>
    <w:p>
      <w:r>
        <w:t>S5; N5</w:t>
      </w:r>
    </w:p>
    <w:p>
      <w:pPr>
        <w:pStyle w:val="Heading2"/>
      </w:pPr>
      <w:r>
        <w:t>Arahan penyampaian</w:t>
      </w:r>
    </w:p>
    <w:p>
      <w:r>
        <w:t>Cukup satu contoh. Jika demo langsung menyita waktu, gunakan angka lisan ini dan tunjuk empat langkah pada layar.</w:t>
      </w:r>
    </w:p>
    <w:p>
      <w:r>
        <w:br w:type="page"/>
      </w:r>
    </w:p>
    <w:p>
      <w:pPr>
        <w:pStyle w:val="Heading1"/>
      </w:pPr>
      <w:r>
        <w:t>Slide 14 Kekuatan keterbatasan dan peluang ARISE</w:t>
      </w:r>
    </w:p>
    <w:p>
      <w:r>
        <w:t>Penanda visual: STRENGTH WEAKNESS OPPORTUNITY THREATS</w:t>
      </w:r>
    </w:p>
    <w:p>
      <w:r>
        <w:rPr>
          <w:color w:val="777777"/>
          <w:sz w:val="18"/>
        </w:rPr>
        <w:t>Alokasi 30 detik   |   08:35–09:05   |   65 kata</w:t>
      </w:r>
    </w:p>
    <w:p>
      <w:pPr>
        <w:pStyle w:val="Heading2"/>
      </w:pPr>
      <w:r>
        <w:t>Teks yang dibacakan</w:t>
      </w:r>
    </w:p>
    <w:p>
      <w:pPr>
        <w:spacing w:line="264" w:lineRule="auto" w:after="140"/>
      </w:pPr>
      <w:r>
        <w:rPr>
          <w:rFonts w:ascii="Calibri" w:hAnsi="Calibri"/>
          <w:sz w:val="23"/>
          <w:lang w:val="en-US"/>
        </w:rPr>
        <w:t>ARISE helps users follow the calculation and check each country's data. It shows rice production and stocks for ten countries. The import tool covers four.</w:t>
      </w:r>
    </w:p>
    <w:p>
      <w:pPr>
        <w:spacing w:line="264" w:lineRule="auto" w:after="140"/>
      </w:pPr>
      <w:r>
        <w:rPr>
          <w:rFonts w:ascii="Calibri" w:hAnsi="Calibri"/>
          <w:sz w:val="23"/>
          <w:lang w:val="en-US"/>
        </w:rPr>
        <w:t>The data comes from fixed years, and the calculation is still simple. The tool needs more trade data, regular updates, and clear rules for when to act, checked with the right authorities.</w:t>
      </w:r>
    </w:p>
    <w:p>
      <w:pPr>
        <w:spacing w:line="264" w:lineRule="auto" w:after="140"/>
      </w:pPr>
      <w:r>
        <w:rPr>
          <w:rFonts w:ascii="Calibri" w:hAnsi="Calibri"/>
          <w:sz w:val="23"/>
          <w:lang w:val="en-US"/>
        </w:rPr>
        <w:t>For now, it helps users plan a response.</w:t>
      </w:r>
    </w:p>
    <w:p>
      <w:pPr>
        <w:pStyle w:val="Heading2"/>
      </w:pPr>
      <w:r>
        <w:t>Slide ini menjelaskan apa</w:t>
      </w:r>
    </w:p>
    <w:p>
      <w:r>
        <w:t>Menjelaskan SWOT secara seimbang dan meluruskan kalimat Covers only 4 of 10 ASEAN countries. Batas empat negara berlaku pada modul perdagangan/simulator, bukan seluruh profil domestik.</w:t>
      </w:r>
    </w:p>
    <w:p>
      <w:pPr>
        <w:pStyle w:val="Heading2"/>
      </w:pPr>
      <w:r>
        <w:t>Data yang dipakai</w:t>
      </w:r>
    </w:p>
    <w:p>
      <w:r>
        <w:t>Batas cakupan dan asumsi berasal dari struktur dataset serta implementasi prototipe. SWOT merupakan penilaian kualitatif tim, bukan hasil survei pengguna atau pengukuran dampak.</w:t>
      </w:r>
    </w:p>
    <w:p>
      <w:pPr>
        <w:pStyle w:val="Heading2"/>
      </w:pPr>
      <w:r>
        <w:t>Detail metode dan batas interpretasi</w:t>
      </w:r>
    </w:p>
    <w:p>
      <w:r>
        <w:t>SWOT adalah penilaian kualitatif terhadap prototipe. Bedakan cakupan profil domestik sepuluh negara dan simulator empat negara. Kebutuhan data, pembaruan, dan validasi kebijakan sudah disebut dalam infografis. Tidak ada bukti uji pengguna atau estimasi dampak ARISE yang digunakan untuk mengklaim keberhasilan.</w:t>
      </w:r>
    </w:p>
    <w:p>
      <w:pPr>
        <w:pStyle w:val="Heading2"/>
      </w:pPr>
      <w:r>
        <w:t>Sumber</w:t>
      </w:r>
    </w:p>
    <w:p>
      <w:r>
        <w:t>S1; S5; N5</w:t>
      </w:r>
    </w:p>
    <w:p>
      <w:pPr>
        <w:pStyle w:val="Heading2"/>
      </w:pPr>
      <w:r>
        <w:t>Arahan penyampaian</w:t>
      </w:r>
    </w:p>
    <w:p>
      <w:r>
        <w:t>Tidak perlu membaca empat kotak. Tekankan satu kekuatan, batas cakupan, dan dua kebutuhan pengembangan.</w:t>
      </w:r>
    </w:p>
    <w:p>
      <w:r>
        <w:br w:type="page"/>
      </w:r>
    </w:p>
    <w:p>
      <w:pPr>
        <w:pStyle w:val="Heading1"/>
      </w:pPr>
      <w:r>
        <w:t>Slide 15 Kesimpulan dan ajakan bertindak</w:t>
      </w:r>
    </w:p>
    <w:p>
      <w:r>
        <w:t>Penanda visual: IN CONCLUSION ENOUGH RICE ON PAPER IS NOT ENOUGH</w:t>
      </w:r>
    </w:p>
    <w:p>
      <w:r>
        <w:rPr>
          <w:color w:val="777777"/>
          <w:sz w:val="18"/>
        </w:rPr>
        <w:t>Alokasi 30 detik   |   09:05–09:35   |   70 kata</w:t>
      </w:r>
    </w:p>
    <w:p>
      <w:pPr>
        <w:pStyle w:val="Heading2"/>
      </w:pPr>
      <w:r>
        <w:t>Teks yang dibacakan</w:t>
      </w:r>
    </w:p>
    <w:p>
      <w:pPr>
        <w:spacing w:line="264" w:lineRule="auto" w:after="140"/>
      </w:pPr>
      <w:r>
        <w:rPr>
          <w:rFonts w:ascii="Calibri" w:hAnsi="Calibri"/>
          <w:sz w:val="23"/>
          <w:lang w:val="en-US"/>
        </w:rPr>
        <w:t>Let's return to our first question. The region may have enough rice, but that rice still needs to reach the countries that need it.</w:t>
      </w:r>
    </w:p>
    <w:p>
      <w:pPr>
        <w:spacing w:line="264" w:lineRule="auto" w:after="140"/>
      </w:pPr>
      <w:r>
        <w:rPr>
          <w:rFonts w:ascii="Calibri" w:hAnsi="Calibri"/>
          <w:sz w:val="23"/>
          <w:lang w:val="en-US"/>
        </w:rPr>
        <w:t>Our findings show why we should look at where countries buy their rice, how much they grow, and what they keep in storage. ARISE helps us start planning.</w:t>
      </w:r>
    </w:p>
    <w:p>
      <w:pPr>
        <w:spacing w:line="264" w:lineRule="auto" w:after="140"/>
      </w:pPr>
      <w:r>
        <w:rPr>
          <w:rFonts w:ascii="Calibri" w:hAnsi="Calibri"/>
          <w:sz w:val="23"/>
          <w:lang w:val="en-US"/>
        </w:rPr>
        <w:t>We suggest preparing early, while countries still have time to act, before a supply problem becomes a shortage.</w:t>
      </w:r>
    </w:p>
    <w:p>
      <w:pPr>
        <w:pStyle w:val="Heading2"/>
      </w:pPr>
      <w:r>
        <w:t>Slide ini menjelaskan apa</w:t>
      </w:r>
    </w:p>
    <w:p>
      <w:r>
        <w:t>Menutup lingkaran cerita dengan menjawab hook. Simpulan yang didukung analisis adalah adanya perbedaan paparan dan penyangga, bukan kepastian terjadinya krisis.</w:t>
      </w:r>
    </w:p>
    <w:p>
      <w:pPr>
        <w:pStyle w:val="Heading2"/>
      </w:pPr>
      <w:r>
        <w:t>Data yang dipakai</w:t>
      </w:r>
    </w:p>
    <w:p>
      <w:r>
        <w:t>Sintesis SSR, struktur impor, profil penyangga domestik dan contoh skenario. Tidak ada estimasi baru pada slide kesimpulan.</w:t>
      </w:r>
    </w:p>
    <w:p>
      <w:pPr>
        <w:pStyle w:val="Heading2"/>
      </w:pPr>
      <w:r>
        <w:t>Detail metode dan batas interpretasi</w:t>
      </w:r>
    </w:p>
    <w:p>
      <w:r>
        <w:t>Gabungkan temuan secara konseptual tanpa menciptakan skor risiko gabungan yang belum dihitung. Nyatakan ARISE sebagai tawaran awal untuk membantu persiapan, bukan alat yang sudah terbukti mencegah kelangkaan.</w:t>
      </w:r>
    </w:p>
    <w:p>
      <w:pPr>
        <w:pStyle w:val="Heading2"/>
      </w:pPr>
      <w:r>
        <w:t>Sumber</w:t>
      </w:r>
    </w:p>
    <w:p>
      <w:r>
        <w:t>S1; S5</w:t>
      </w:r>
    </w:p>
    <w:p>
      <w:pPr>
        <w:pStyle w:val="Heading2"/>
      </w:pPr>
      <w:r>
        <w:t>Arahan penyampaian</w:t>
      </w:r>
    </w:p>
    <w:p>
      <w:r>
        <w:t>Perlambat kalimat terakhir dan beri jeda singkat. Simpulan menjawab hook; hindari menambahkan hasil atau janji keberhasilan baru.</w:t>
      </w:r>
    </w:p>
    <w:p>
      <w:r>
        <w:br w:type="page"/>
      </w:r>
    </w:p>
    <w:p>
      <w:pPr>
        <w:pStyle w:val="Heading1"/>
      </w:pPr>
      <w:r>
        <w:t>Slide 16 Penutup dan tanya jawab</w:t>
      </w:r>
    </w:p>
    <w:p>
      <w:r>
        <w:t>Penanda visual: ANY QUESTION?</w:t>
      </w:r>
    </w:p>
    <w:p>
      <w:r>
        <w:rPr>
          <w:color w:val="777777"/>
          <w:sz w:val="18"/>
        </w:rPr>
        <w:t>Alokasi 5 detik   |   09:35–09:40   |   6 kata</w:t>
      </w:r>
    </w:p>
    <w:p>
      <w:pPr>
        <w:pStyle w:val="Heading2"/>
      </w:pPr>
      <w:r>
        <w:t>Teks yang dibacakan</w:t>
      </w:r>
    </w:p>
    <w:p>
      <w:pPr>
        <w:spacing w:line="264" w:lineRule="auto" w:after="140"/>
      </w:pPr>
      <w:r>
        <w:rPr>
          <w:rFonts w:ascii="Calibri" w:hAnsi="Calibri"/>
          <w:sz w:val="23"/>
          <w:lang w:val="en-US"/>
        </w:rPr>
        <w:t>Thank you. We welcome your questions.</w:t>
      </w:r>
    </w:p>
    <w:p>
      <w:pPr>
        <w:pStyle w:val="Heading2"/>
      </w:pPr>
      <w:r>
        <w:t>Slide ini menjelaskan apa</w:t>
      </w:r>
    </w:p>
    <w:p>
      <w:r>
        <w:t>Mengakhiri presentasi dan membuka diskusi. Infografis utuh menjadi peta untuk menunjuk bagian yang ditanyakan juri.</w:t>
      </w:r>
    </w:p>
    <w:p>
      <w:pPr>
        <w:pStyle w:val="Heading2"/>
      </w:pPr>
      <w:r>
        <w:t>Data yang dipakai</w:t>
      </w:r>
    </w:p>
    <w:p>
      <w:r>
        <w:t>Tidak ada data baru. Durasi sesi tanya jawab berada di luar alokasi sepuluh menit naskah.</w:t>
      </w:r>
    </w:p>
    <w:p>
      <w:pPr>
        <w:pStyle w:val="Heading2"/>
      </w:pPr>
      <w:r>
        <w:t>Detail metode dan batas interpretasi</w:t>
      </w:r>
    </w:p>
    <w:p>
      <w:r>
        <w:t>Gunakan catatan teknis sebagai dasar menjawab dengan urutan temuan, cara menghitung, dan batas interpretasi. Semua anggota perlu ikut berkontribusi dalam sesi tanya jawab.</w:t>
      </w:r>
    </w:p>
    <w:p>
      <w:pPr>
        <w:pStyle w:val="Heading2"/>
      </w:pPr>
      <w:r>
        <w:t>Sumber</w:t>
      </w:r>
    </w:p>
    <w:p>
      <w:r>
        <w:t>Tidak ada sumber data baru. Peta rujukan tercantum di bagian sumber.</w:t>
      </w:r>
    </w:p>
    <w:p>
      <w:pPr>
        <w:pStyle w:val="Heading2"/>
      </w:pPr>
      <w:r>
        <w:t>Arahan penyampaian</w:t>
      </w:r>
    </w:p>
    <w:p>
      <w:r>
        <w:t>Hentikan naskah setelah ucapan singkat. Sesi tanya jawab memiliki alokasi terpisah sepuluh menit dan wajib memakai bahasa Inggris.</w:t>
      </w:r>
    </w:p>
    <w:p>
      <w:r>
        <w:br w:type="page"/>
      </w:r>
    </w:p>
    <w:p>
      <w:pPr>
        <w:pStyle w:val="Heading1"/>
      </w:pPr>
      <w:r>
        <w:t>Catatan metode untuk persiapan tanya jawab</w:t>
      </w:r>
    </w:p>
    <w:p>
      <w:pPr>
        <w:pStyle w:val="Heading2"/>
      </w:pPr>
      <w:r>
        <w:t>Mengapa angka heatmap berbeda antarversi</w:t>
      </w:r>
    </w:p>
    <w:p>
      <w:r>
        <w:t>Notebook menyimpan tiga jendela waktu: rata-rata tahun dalam episode, tahun puncak, dan tahun puncak ditambah satu. PNG cocok dengan tahun puncak untuk tiga episode yang ditampilkan. Karena itu, label episode 1997–98 tidak berarti rata-rata 1997 dan 1998. Ringkasan seluruh delapan produsen negatif serta rerata −4,71% berasal dari rata-rata episode dan tidak dipakai untuk menjelaskan PNG. Perubahan naskah ini menyelaraskan interpretasi dengan visual yang sudah ada.</w:t>
      </w:r>
    </w:p>
    <w:p>
      <w:pPr>
        <w:pStyle w:val="Heading2"/>
      </w:pPr>
      <w:r>
        <w:t>Mengapa memilih tiga kelompok</w:t>
      </w:r>
    </w:p>
    <w:tbl>
      <w:tblPr>
        <w:tblStyle w:val="LightShading-Accent1"/>
        <w:tblW w:type="auto" w:w="0"/>
        <w:tblLook w:firstColumn="1" w:firstRow="1" w:lastColumn="0" w:lastRow="0" w:noHBand="0" w:noVBand="1" w:val="04A0"/>
      </w:tblPr>
      <w:tblGrid>
        <w:gridCol w:w="1950"/>
        <w:gridCol w:w="1950"/>
        <w:gridCol w:w="1950"/>
        <w:gridCol w:w="1950"/>
        <w:gridCol w:w="1950"/>
      </w:tblGrid>
      <w:tr>
        <w:trPr>
          <w:tblHeader/>
        </w:trPr>
        <w:tc>
          <w:tcPr>
            <w:tcW w:type="dxa" w:w="1950"/>
          </w:tcPr>
          <w:p>
            <w:pPr>
              <w:spacing w:after="40" w:before="40"/>
            </w:pPr>
            <w:r>
              <w:rPr>
                <w:b/>
                <w:sz w:val="18"/>
              </w:rPr>
              <w:t>k</w:t>
            </w:r>
          </w:p>
        </w:tc>
        <w:tc>
          <w:tcPr>
            <w:tcW w:type="dxa" w:w="1950"/>
          </w:tcPr>
          <w:p>
            <w:pPr>
              <w:spacing w:after="40" w:before="40"/>
            </w:pPr>
            <w:r>
              <w:rPr>
                <w:b/>
                <w:sz w:val="18"/>
              </w:rPr>
              <w:t>Silhouette</w:t>
            </w:r>
          </w:p>
        </w:tc>
        <w:tc>
          <w:tcPr>
            <w:tcW w:type="dxa" w:w="1950"/>
          </w:tcPr>
          <w:p>
            <w:pPr>
              <w:spacing w:after="40" w:before="40"/>
            </w:pPr>
            <w:r>
              <w:rPr>
                <w:b/>
                <w:sz w:val="18"/>
              </w:rPr>
              <w:t>Calinski Harabasz</w:t>
            </w:r>
          </w:p>
        </w:tc>
        <w:tc>
          <w:tcPr>
            <w:tcW w:type="dxa" w:w="1950"/>
          </w:tcPr>
          <w:p>
            <w:pPr>
              <w:spacing w:after="40" w:before="40"/>
            </w:pPr>
            <w:r>
              <w:rPr>
                <w:b/>
                <w:sz w:val="18"/>
              </w:rPr>
              <w:t>Davies Bouldin</w:t>
            </w:r>
          </w:p>
        </w:tc>
        <w:tc>
          <w:tcPr>
            <w:tcW w:type="dxa" w:w="1950"/>
          </w:tcPr>
          <w:p>
            <w:pPr>
              <w:spacing w:after="40" w:before="40"/>
            </w:pPr>
            <w:r>
              <w:rPr>
                <w:b/>
                <w:sz w:val="18"/>
              </w:rPr>
              <w:t>Jumlah peringkat</w:t>
            </w:r>
          </w:p>
        </w:tc>
      </w:tr>
      <w:tr>
        <w:tc>
          <w:tcPr>
            <w:tcW w:type="dxa" w:w="1950"/>
          </w:tcPr>
          <w:p>
            <w:pPr>
              <w:spacing w:after="40" w:before="40"/>
            </w:pPr>
            <w:r>
              <w:rPr>
                <w:b w:val="0"/>
                <w:sz w:val="18"/>
              </w:rPr>
              <w:t>2</w:t>
            </w:r>
          </w:p>
        </w:tc>
        <w:tc>
          <w:tcPr>
            <w:tcW w:type="dxa" w:w="1950"/>
          </w:tcPr>
          <w:p>
            <w:pPr>
              <w:spacing w:after="40" w:before="40"/>
            </w:pPr>
            <w:r>
              <w:rPr>
                <w:b w:val="0"/>
                <w:sz w:val="18"/>
              </w:rPr>
              <w:t>0,5355</w:t>
            </w:r>
          </w:p>
        </w:tc>
        <w:tc>
          <w:tcPr>
            <w:tcW w:type="dxa" w:w="1950"/>
          </w:tcPr>
          <w:p>
            <w:pPr>
              <w:spacing w:after="40" w:before="40"/>
            </w:pPr>
            <w:r>
              <w:rPr>
                <w:b w:val="0"/>
                <w:sz w:val="18"/>
              </w:rPr>
              <w:t>10,7117</w:t>
            </w:r>
          </w:p>
        </w:tc>
        <w:tc>
          <w:tcPr>
            <w:tcW w:type="dxa" w:w="1950"/>
          </w:tcPr>
          <w:p>
            <w:pPr>
              <w:spacing w:after="40" w:before="40"/>
            </w:pPr>
            <w:r>
              <w:rPr>
                <w:b w:val="0"/>
                <w:sz w:val="18"/>
              </w:rPr>
              <w:t>0,4906</w:t>
            </w:r>
          </w:p>
        </w:tc>
        <w:tc>
          <w:tcPr>
            <w:tcW w:type="dxa" w:w="1950"/>
          </w:tcPr>
          <w:p>
            <w:pPr>
              <w:spacing w:after="40" w:before="40"/>
            </w:pPr>
            <w:r>
              <w:rPr>
                <w:b w:val="0"/>
                <w:sz w:val="18"/>
              </w:rPr>
              <w:t>6</w:t>
            </w:r>
          </w:p>
        </w:tc>
      </w:tr>
      <w:tr>
        <w:tc>
          <w:tcPr>
            <w:tcW w:type="dxa" w:w="1950"/>
          </w:tcPr>
          <w:p>
            <w:pPr>
              <w:spacing w:after="40" w:before="40"/>
            </w:pPr>
            <w:r>
              <w:rPr>
                <w:b w:val="0"/>
                <w:sz w:val="18"/>
              </w:rPr>
              <w:t>3</w:t>
            </w:r>
          </w:p>
        </w:tc>
        <w:tc>
          <w:tcPr>
            <w:tcW w:type="dxa" w:w="1950"/>
          </w:tcPr>
          <w:p>
            <w:pPr>
              <w:spacing w:after="40" w:before="40"/>
            </w:pPr>
            <w:r>
              <w:rPr>
                <w:b w:val="0"/>
                <w:sz w:val="18"/>
              </w:rPr>
              <w:t>0,5278</w:t>
            </w:r>
          </w:p>
        </w:tc>
        <w:tc>
          <w:tcPr>
            <w:tcW w:type="dxa" w:w="1950"/>
          </w:tcPr>
          <w:p>
            <w:pPr>
              <w:spacing w:after="40" w:before="40"/>
            </w:pPr>
            <w:r>
              <w:rPr>
                <w:b w:val="0"/>
                <w:sz w:val="18"/>
              </w:rPr>
              <w:t>18,6338</w:t>
            </w:r>
          </w:p>
        </w:tc>
        <w:tc>
          <w:tcPr>
            <w:tcW w:type="dxa" w:w="1950"/>
          </w:tcPr>
          <w:p>
            <w:pPr>
              <w:spacing w:after="40" w:before="40"/>
            </w:pPr>
            <w:r>
              <w:rPr>
                <w:b w:val="0"/>
                <w:sz w:val="18"/>
              </w:rPr>
              <w:t>0,4707</w:t>
            </w:r>
          </w:p>
        </w:tc>
        <w:tc>
          <w:tcPr>
            <w:tcW w:type="dxa" w:w="1950"/>
          </w:tcPr>
          <w:p>
            <w:pPr>
              <w:spacing w:after="40" w:before="40"/>
            </w:pPr>
            <w:r>
              <w:rPr>
                <w:b w:val="0"/>
                <w:sz w:val="18"/>
              </w:rPr>
              <w:t>5</w:t>
            </w:r>
          </w:p>
        </w:tc>
      </w:tr>
      <w:tr>
        <w:tc>
          <w:tcPr>
            <w:tcW w:type="dxa" w:w="1950"/>
          </w:tcPr>
          <w:p>
            <w:pPr>
              <w:spacing w:after="40" w:before="40"/>
            </w:pPr>
            <w:r>
              <w:rPr>
                <w:b w:val="0"/>
                <w:sz w:val="18"/>
              </w:rPr>
              <w:t>4</w:t>
            </w:r>
          </w:p>
        </w:tc>
        <w:tc>
          <w:tcPr>
            <w:tcW w:type="dxa" w:w="1950"/>
          </w:tcPr>
          <w:p>
            <w:pPr>
              <w:spacing w:after="40" w:before="40"/>
            </w:pPr>
            <w:r>
              <w:rPr>
                <w:b w:val="0"/>
                <w:sz w:val="18"/>
              </w:rPr>
              <w:t>0,4714</w:t>
            </w:r>
          </w:p>
        </w:tc>
        <w:tc>
          <w:tcPr>
            <w:tcW w:type="dxa" w:w="1950"/>
          </w:tcPr>
          <w:p>
            <w:pPr>
              <w:spacing w:after="40" w:before="40"/>
            </w:pPr>
            <w:r>
              <w:rPr>
                <w:b w:val="0"/>
                <w:sz w:val="18"/>
              </w:rPr>
              <w:t>21,3457</w:t>
            </w:r>
          </w:p>
        </w:tc>
        <w:tc>
          <w:tcPr>
            <w:tcW w:type="dxa" w:w="1950"/>
          </w:tcPr>
          <w:p>
            <w:pPr>
              <w:spacing w:after="40" w:before="40"/>
            </w:pPr>
            <w:r>
              <w:rPr>
                <w:b w:val="0"/>
                <w:sz w:val="18"/>
              </w:rPr>
              <w:t>0,4936</w:t>
            </w:r>
          </w:p>
        </w:tc>
        <w:tc>
          <w:tcPr>
            <w:tcW w:type="dxa" w:w="1950"/>
          </w:tcPr>
          <w:p>
            <w:pPr>
              <w:spacing w:after="40" w:before="40"/>
            </w:pPr>
            <w:r>
              <w:rPr>
                <w:b w:val="0"/>
                <w:sz w:val="18"/>
              </w:rPr>
              <w:t>7</w:t>
            </w:r>
          </w:p>
        </w:tc>
      </w:tr>
    </w:tbl>
    <w:p>
      <w:r>
        <w:t>Silhouette dan Calinski–Harabasz lebih besar lebih baik; Davies–Bouldin lebih kecil lebih baik. k=2 paling tinggi untuk silhouette, k=4 paling tinggi untuk Calinski–Harabasz, dan k=3 paling rendah untuk Davies–Bouldin. Notebook memilih jumlah peringkat terkecil, lalu mempertimbangkan stabilitas penskalaan dan k sebagai pemecah seri. Karena n=10, hasil tetap eksploratif. Angka tambahan pada tabel ini adalah penjelasan pemilihan metode, bukan temuan baru untuk dibacakan sebagai perluasan analisis.</w:t>
      </w:r>
    </w:p>
    <w:p>
      <w:pPr>
        <w:pStyle w:val="Heading2"/>
      </w:pPr>
      <w:r>
        <w:t>Cara membaca profil tanpa menyamaratakan anggota</w:t>
      </w:r>
    </w:p>
    <w:tbl>
      <w:tblPr>
        <w:tblStyle w:val="LightShading-Accent1"/>
        <w:tblW w:type="auto" w:w="0"/>
        <w:tblLook w:firstColumn="1" w:firstRow="1" w:lastColumn="0" w:lastRow="0" w:noHBand="0" w:noVBand="1" w:val="04A0"/>
      </w:tblPr>
      <w:tblGrid>
        <w:gridCol w:w="2438"/>
        <w:gridCol w:w="2438"/>
        <w:gridCol w:w="2438"/>
        <w:gridCol w:w="2438"/>
      </w:tblGrid>
      <w:tr>
        <w:trPr>
          <w:tblHeader/>
        </w:trPr>
        <w:tc>
          <w:tcPr>
            <w:tcW w:type="dxa" w:w="2438"/>
          </w:tcPr>
          <w:p>
            <w:pPr>
              <w:spacing w:after="40" w:before="40"/>
            </w:pPr>
            <w:r>
              <w:rPr>
                <w:b/>
                <w:sz w:val="18"/>
              </w:rPr>
              <w:t>Profil</w:t>
            </w:r>
          </w:p>
        </w:tc>
        <w:tc>
          <w:tcPr>
            <w:tcW w:type="dxa" w:w="2438"/>
          </w:tcPr>
          <w:p>
            <w:pPr>
              <w:spacing w:after="40" w:before="40"/>
            </w:pPr>
            <w:r>
              <w:rPr>
                <w:b/>
                <w:sz w:val="18"/>
              </w:rPr>
              <w:t>Anggota</w:t>
            </w:r>
          </w:p>
        </w:tc>
        <w:tc>
          <w:tcPr>
            <w:tcW w:type="dxa" w:w="2438"/>
          </w:tcPr>
          <w:p>
            <w:pPr>
              <w:spacing w:after="40" w:before="40"/>
            </w:pPr>
            <w:r>
              <w:rPr>
                <w:b/>
                <w:sz w:val="18"/>
              </w:rPr>
              <w:t>Rerata SSR</w:t>
            </w:r>
          </w:p>
        </w:tc>
        <w:tc>
          <w:tcPr>
            <w:tcW w:type="dxa" w:w="2438"/>
          </w:tcPr>
          <w:p>
            <w:pPr>
              <w:spacing w:after="40" w:before="40"/>
            </w:pPr>
            <w:r>
              <w:rPr>
                <w:b/>
                <w:sz w:val="18"/>
              </w:rPr>
              <w:t>Rerata stok awal per penggunaan</w:t>
            </w:r>
          </w:p>
        </w:tc>
      </w:tr>
      <w:tr>
        <w:tc>
          <w:tcPr>
            <w:tcW w:type="dxa" w:w="2438"/>
          </w:tcPr>
          <w:p>
            <w:pPr>
              <w:spacing w:after="40" w:before="40"/>
            </w:pPr>
            <w:r>
              <w:rPr>
                <w:b w:val="0"/>
                <w:sz w:val="18"/>
              </w:rPr>
              <w:t>C1</w:t>
            </w:r>
          </w:p>
        </w:tc>
        <w:tc>
          <w:tcPr>
            <w:tcW w:type="dxa" w:w="2438"/>
          </w:tcPr>
          <w:p>
            <w:pPr>
              <w:spacing w:after="40" w:before="40"/>
            </w:pPr>
            <w:r>
              <w:rPr>
                <w:b w:val="0"/>
                <w:sz w:val="18"/>
              </w:rPr>
              <w:t>Brunei dan Singapura</w:t>
            </w:r>
          </w:p>
        </w:tc>
        <w:tc>
          <w:tcPr>
            <w:tcW w:type="dxa" w:w="2438"/>
          </w:tcPr>
          <w:p>
            <w:pPr>
              <w:spacing w:after="40" w:before="40"/>
            </w:pPr>
            <w:r>
              <w:rPr>
                <w:b w:val="0"/>
                <w:sz w:val="18"/>
              </w:rPr>
              <w:t>4,69%</w:t>
            </w:r>
          </w:p>
        </w:tc>
        <w:tc>
          <w:tcPr>
            <w:tcW w:type="dxa" w:w="2438"/>
          </w:tcPr>
          <w:p>
            <w:pPr>
              <w:spacing w:after="40" w:before="40"/>
            </w:pPr>
            <w:r>
              <w:rPr>
                <w:b w:val="0"/>
                <w:sz w:val="18"/>
              </w:rPr>
              <w:t>13,28%</w:t>
            </w:r>
          </w:p>
        </w:tc>
      </w:tr>
      <w:tr>
        <w:tc>
          <w:tcPr>
            <w:tcW w:type="dxa" w:w="2438"/>
          </w:tcPr>
          <w:p>
            <w:pPr>
              <w:spacing w:after="40" w:before="40"/>
            </w:pPr>
            <w:r>
              <w:rPr>
                <w:b w:val="0"/>
                <w:sz w:val="18"/>
              </w:rPr>
              <w:t>C2</w:t>
            </w:r>
          </w:p>
        </w:tc>
        <w:tc>
          <w:tcPr>
            <w:tcW w:type="dxa" w:w="2438"/>
          </w:tcPr>
          <w:p>
            <w:pPr>
              <w:spacing w:after="40" w:before="40"/>
            </w:pPr>
            <w:r>
              <w:rPr>
                <w:b w:val="0"/>
                <w:sz w:val="18"/>
              </w:rPr>
              <w:t>Enam negara kelompok tengah</w:t>
            </w:r>
          </w:p>
        </w:tc>
        <w:tc>
          <w:tcPr>
            <w:tcW w:type="dxa" w:w="2438"/>
          </w:tcPr>
          <w:p>
            <w:pPr>
              <w:spacing w:after="40" w:before="40"/>
            </w:pPr>
            <w:r>
              <w:rPr>
                <w:b w:val="0"/>
                <w:sz w:val="18"/>
              </w:rPr>
              <w:t>99,30%</w:t>
            </w:r>
          </w:p>
        </w:tc>
        <w:tc>
          <w:tcPr>
            <w:tcW w:type="dxa" w:w="2438"/>
          </w:tcPr>
          <w:p>
            <w:pPr>
              <w:spacing w:after="40" w:before="40"/>
            </w:pPr>
            <w:r>
              <w:rPr>
                <w:b w:val="0"/>
                <w:sz w:val="18"/>
              </w:rPr>
              <w:t>19,97%</w:t>
            </w:r>
          </w:p>
        </w:tc>
      </w:tr>
      <w:tr>
        <w:tc>
          <w:tcPr>
            <w:tcW w:type="dxa" w:w="2438"/>
          </w:tcPr>
          <w:p>
            <w:pPr>
              <w:spacing w:after="40" w:before="40"/>
            </w:pPr>
            <w:r>
              <w:rPr>
                <w:b w:val="0"/>
                <w:sz w:val="18"/>
              </w:rPr>
              <w:t>C3</w:t>
            </w:r>
          </w:p>
        </w:tc>
        <w:tc>
          <w:tcPr>
            <w:tcW w:type="dxa" w:w="2438"/>
          </w:tcPr>
          <w:p>
            <w:pPr>
              <w:spacing w:after="40" w:before="40"/>
            </w:pPr>
            <w:r>
              <w:rPr>
                <w:b w:val="0"/>
                <w:sz w:val="18"/>
              </w:rPr>
              <w:t>Myanmar dan Thailand</w:t>
            </w:r>
          </w:p>
        </w:tc>
        <w:tc>
          <w:tcPr>
            <w:tcW w:type="dxa" w:w="2438"/>
          </w:tcPr>
          <w:p>
            <w:pPr>
              <w:spacing w:after="40" w:before="40"/>
            </w:pPr>
            <w:r>
              <w:rPr>
                <w:b w:val="0"/>
                <w:sz w:val="18"/>
              </w:rPr>
              <w:t>165,68%</w:t>
            </w:r>
          </w:p>
        </w:tc>
        <w:tc>
          <w:tcPr>
            <w:tcW w:type="dxa" w:w="2438"/>
          </w:tcPr>
          <w:p>
            <w:pPr>
              <w:spacing w:after="40" w:before="40"/>
            </w:pPr>
            <w:r>
              <w:rPr>
                <w:b w:val="0"/>
                <w:sz w:val="18"/>
              </w:rPr>
              <w:t>118,90%</w:t>
            </w:r>
          </w:p>
        </w:tc>
      </w:tr>
    </w:tbl>
    <w:p>
      <w:r>
        <w:t>Rerata SSR C2 sebesar 99,30% tidak berarti setiap anggotanya mendekati swasembada. Gap nonnegatif dirata-ratakan tersendiri, sehingga rerata gap C2 13,30% tidak sama dengan 100 dikurangi rerata SSR. Nilai stok nol yang tercatat pada sumber tidak membuktikan tidak adanya seluruh cadangan fisik. Rasio stok juga tidak memberi informasi tentang akses, kepemilikan, lokasi, atau kecepatan pelepasannya.</w:t>
      </w:r>
    </w:p>
    <w:p>
      <w:pPr>
        <w:pStyle w:val="Heading2"/>
      </w:pPr>
      <w:r>
        <w:t>Memisahkan analisis empiris dan percobaan kode</w:t>
      </w:r>
    </w:p>
    <w:p>
      <w:r>
        <w:t>Data_RASIO.ipynb memuat beberapa percobaan dengan yield atau respons iklim yang disimulasikan secara acak. Percobaan tersebut tidak menjadi dasar klaim empiris dalam naskah. Acuan utama adalah notebook khusus heatmap, perdagangan, gelembung, dan clustering beserta keluaran tersimpannya. Pemeriksaan dilakukan pada kode, angka sumber, dan keluaran tersimpan; seluruh notebook tidak dijalankan ulang dalam lingkungan aslinya.</w:t>
      </w:r>
    </w:p>
    <w:p>
      <w:r>
        <w:br w:type="page"/>
      </w:r>
    </w:p>
    <w:p>
      <w:pPr>
        <w:pStyle w:val="Heading1"/>
      </w:pPr>
      <w:r>
        <w:t>Kesiapan presentasi dan sesi tanya jawab</w:t>
      </w:r>
    </w:p>
    <w:p>
      <w:pPr>
        <w:pStyle w:val="Heading2"/>
      </w:pPr>
      <w:r>
        <w:t>Ketentuan yang relevan</w:t>
      </w:r>
    </w:p>
    <w:p>
      <w:r>
        <w:t>Presentasi dan tanya jawab wajib berbahasa Inggris, masing-masing 10 menit. Semua anggota harus hadir dan berkontribusi; pembagian pembicara dapat mengikuti bagian analisis yang paling dikuasai. Materi harus berangkat dari infografis yang sudah diserahkan. Elaborasi metode diperbolehkan, tetapi analisis atau informasi baru di luar isi infografis tidak ditambahkan ke naskah lisan.</w:t>
      </w:r>
    </w:p>
    <w:p>
      <w:r>
        <w:t>Materi presentasi wajib memuat judul, nomor peserta, nama tim, nama lengkap anggota, latar belakang dan tujuan, metode, kesimpulan, serta referensi. Jangan menyebut nama atau menampilkan identitas institusi peserta. Setiap slide memerlukan bingkai panitia. Berkas presentasi untuk panitia adalah PDF atau PPTX maksimal 10 MB, bernama 003UI2026_Presentation File; tautan presentasi daring dicantumkan pada halaman terakhir bila digunakan. Word ini adalah panduan latihan untuk tim.</w:t>
      </w:r>
    </w:p>
    <w:p>
      <w:r>
        <w:t>Nama pada slide yang tersedia memuat singkatan Fariza Singgih I. dan M. Rafa Zulfikar. Pastikan penulisan nama lengkap pada berkas presentasi sesuai data pendaftaran tanpa menebak kepanjangan singkatan. Untuk rujukan, gunakan daftar sumber yang sudah mendasari infografis; nomor S dan N dalam panduan ini berfungsi untuk menelusuri penjelasan.</w:t>
      </w:r>
    </w:p>
    <w:p>
      <w:hyperlink r:id="rId10">
        <w:r>
          <w:rPr>
            <w:color w:val="205C50"/>
            <w:u w:val="single"/>
          </w:rPr>
          <w:t>Baca ketentuan resmi babak final RASIO 10</w:t>
        </w:r>
      </w:hyperlink>
    </w:p>
    <w:p>
      <w:pPr>
        <w:pStyle w:val="Heading2"/>
      </w:pPr>
      <w:r>
        <w:t>Pokok jawaban yang perlu dikuasai</w:t>
      </w:r>
    </w:p>
    <w:p>
      <w:pPr>
        <w:pStyle w:val="Heading2"/>
      </w:pPr>
      <w:r>
        <w:t>Mengapa surplus kawasan tetap membutuhkan impor</w:t>
      </w:r>
    </w:p>
    <w:p>
      <w:r>
        <w:t>Produksi tersebar tidak merata. Empat negara dalam data diproyeksikan memiliki produksi di bawah penggunaan. Surplus agregat tidak mengukur kelancaran pengiriman atau akses tiap negara.</w:t>
      </w:r>
    </w:p>
    <w:p>
      <w:pPr>
        <w:pStyle w:val="Heading2"/>
      </w:pPr>
      <w:r>
        <w:t>Mengapa bukan semua delapan produsen negatif pada 1997 sampai 1998</w:t>
      </w:r>
    </w:p>
    <w:p>
      <w:r>
        <w:t>Visual menggunakan tahun puncak episode. Indonesia tercatat +0,4%. Pernyataan delapan negatif berasal dari jendela rata-rata episode yang berbeda.</w:t>
      </w:r>
    </w:p>
    <w:p>
      <w:pPr>
        <w:pStyle w:val="Heading2"/>
      </w:pPr>
      <w:r>
        <w:t>Apakah tiga klaster pasti paling benar</w:t>
      </w:r>
    </w:p>
    <w:p>
      <w:r>
        <w:t>Tidak. Tiga dipilih lewat kompromi tiga ukuran evaluasi dan keterbacaan profil, dengan sampel hanya sepuluh negara. Silhouette dua klaster sedikit lebih tinggi.</w:t>
      </w:r>
    </w:p>
    <w:p>
      <w:pPr>
        <w:pStyle w:val="Heading2"/>
      </w:pPr>
      <w:r>
        <w:t>Apakah 1,7 berarti hanya ada dua mitra impor</w:t>
      </w:r>
    </w:p>
    <w:p>
      <w:r>
        <w:t>Tidak. Itu jumlah pemasok efektif berdasarkan konsentrasi, setara 1,7 pemasok dengan pangsa sama. Jumlah mitra yang tercatat bisa jauh lebih banyak.</w:t>
      </w:r>
    </w:p>
    <w:p>
      <w:pPr>
        <w:pStyle w:val="Heading2"/>
      </w:pPr>
      <w:r>
        <w:t>Apakah 37,2 persen berarti Filipina kekurangan beras sebesar itu</w:t>
      </w:r>
    </w:p>
    <w:p>
      <w:r>
        <w:t>Tidak. Nilai tersebut adalah pangsa impor yang terpapar dalam skenario gangguan 50% pemasok terbesar. Bukan persentase kekurangan dari seluruh kebutuhan nasional.</w:t>
      </w:r>
    </w:p>
    <w:p>
      <w:pPr>
        <w:pStyle w:val="Heading2"/>
      </w:pPr>
      <w:r>
        <w:t>Apakah iklim masuk langsung ke rumus simulator</w:t>
      </w:r>
    </w:p>
    <w:p>
      <w:r>
        <w:t>Belum. Iklim memberi konteks; rumus skenario memakai impor, pangsa pemasok terbesar, dan input gangguan. Stok dan profil domestik ditampilkan sebagai pertimbangan terpisah.</w:t>
      </w:r>
    </w:p>
    <w:p>
      <w:r>
        <w:t>Saat latihan tanya jawab, ubah pokok jawaban ini ke bahasa Inggris dengan kalimat sederhana. Satu anggota menjawab inti pertanyaan, anggota lain melengkapi hanya jika ada detail metode atau batas interpretasi yang perlu diperjelas.</w:t>
      </w:r>
    </w:p>
    <w:p>
      <w:r>
        <w:br w:type="page"/>
      </w:r>
    </w:p>
    <w:p>
      <w:pPr>
        <w:pStyle w:val="Heading1"/>
      </w:pPr>
      <w:r>
        <w:t>Sumber data dan rujukan analisis</w:t>
      </w:r>
    </w:p>
    <w:p>
      <w:r>
        <w:t>Kode S merujuk sumber data atau dokumentasi metode. Kode N merujuk notebook dan implementasi yang menjelaskan bagaimana angka diolah. Rujukan lokal mendukung keterlacakan; sumber primer tetap dicantumkan terpisah.</w:t>
      </w:r>
    </w:p>
    <w:p>
      <w:pPr>
        <w:pStyle w:val="Heading2"/>
      </w:pPr>
      <w:r>
        <w:t>S1 AFSIS ACO Report No 35</w:t>
      </w:r>
    </w:p>
    <w:p>
      <w:r>
        <w:t>Edisi Desember 2025; proyeksi 2026. Tabel 1 dan 9–11. Halaman cetak 1, 7, 8; halaman PDF 13, 19, 20. Produksi/penggunaan beras giling, ton, serta stok. Sebagian angka Filipina merupakan estimasi sekretariat; data Kamboja memakai ACO No 34 karena pembaruan belum tersedia.</w:t>
      </w:r>
    </w:p>
    <w:p>
      <w:hyperlink r:id="rId11">
        <w:r>
          <w:rPr>
            <w:color w:val="205C50"/>
            <w:u w:val="single"/>
          </w:rPr>
          <w:t>https://www.aptfsis.org/wp-content/uploads/aco-pdfs/ACO_no.35.pdf</w:t>
        </w:r>
      </w:hyperlink>
    </w:p>
    <w:p>
      <w:pPr>
        <w:pStyle w:val="Heading2"/>
      </w:pPr>
      <w:r>
        <w:t>S2 NOAA CPC prakiraan intensitas ENSO Agustus 2026</w:t>
      </w:r>
    </w:p>
    <w:p>
      <w:r>
        <w:t>Edisi arsip yang mendasari angka pada infografis. Baca probabilitas El Nino dan intensitas sangat kuat sesuai musim masing-masing. Bukan data langsung.</w:t>
      </w:r>
    </w:p>
    <w:p>
      <w:hyperlink r:id="rId12">
        <w:r>
          <w:rPr>
            <w:color w:val="205C50"/>
            <w:u w:val="single"/>
          </w:rPr>
          <w:t>https://cpc.ncep.noaa.gov/products/analysis_monitoring/enso/roni/archives/?month=08&amp;type=strengths&amp;year=2026</w:t>
        </w:r>
      </w:hyperlink>
    </w:p>
    <w:p>
      <w:pPr>
        <w:pStyle w:val="Heading2"/>
      </w:pPr>
      <w:r>
        <w:t>S3 FAO melalui Our World in Data tentang hasil padi</w:t>
      </w:r>
    </w:p>
    <w:p>
      <w:r>
        <w:t>Seri yield tahunan, ton/ha. Pengolahan notebook menggunakan 1990–2024. Berkas lokal rice-yields.csv adalah sumber numerik yang dipakai dalam analisis.</w:t>
      </w:r>
    </w:p>
    <w:p>
      <w:hyperlink r:id="rId13">
        <w:r>
          <w:rPr>
            <w:color w:val="205C50"/>
            <w:u w:val="single"/>
          </w:rPr>
          <w:t>https://ourworldindata.org/grapher/rice-yields</w:t>
        </w:r>
      </w:hyperlink>
    </w:p>
    <w:p>
      <w:pPr>
        <w:pStyle w:val="Heading2"/>
      </w:pPr>
      <w:r>
        <w:t>S4 NOAA CPC Relative Oceanic Nino Index</w:t>
      </w:r>
    </w:p>
    <w:p>
      <w:r>
        <w:t>Indeks RONI musim tiga bulanan; berkas lokal RONI_3_Months.csv. Notebook mendeteksi episode hangat dan tahun puncaknya dari seri ini.</w:t>
      </w:r>
    </w:p>
    <w:p>
      <w:hyperlink r:id="rId14">
        <w:r>
          <w:rPr>
            <w:color w:val="205C50"/>
            <w:u w:val="single"/>
          </w:rPr>
          <w:t>https://cpc.ncep.noaa.gov/products/analysis_monitoring/enso/roni/</w:t>
        </w:r>
      </w:hyperlink>
    </w:p>
    <w:p>
      <w:pPr>
        <w:pStyle w:val="Heading2"/>
      </w:pPr>
      <w:r>
        <w:t>S5 UN Comtrade perdagangan beras 2024</w:t>
      </w:r>
    </w:p>
    <w:p>
      <w:r>
        <w:t>Annual 2024, Import, HS 1006, net weight kg. Reporter: Brunei, Malaysia, Filipina, Singapura. Angka berasal dari ekspor lokal TradeData_8_27_2026_21_50_21.csv. HS 1006 mencakup beberapa bentuk padi/beras; tidak otomatis setara beras giling AFSIS.</w:t>
      </w:r>
    </w:p>
    <w:p>
      <w:hyperlink r:id="rId15">
        <w:r>
          <w:rPr>
            <w:color w:val="205C50"/>
            <w:u w:val="single"/>
          </w:rPr>
          <w:t>https://comtradeplus.un.org/TradeFlow</w:t>
        </w:r>
      </w:hyperlink>
    </w:p>
    <w:p>
      <w:pPr>
        <w:pStyle w:val="Heading2"/>
      </w:pPr>
      <w:r>
        <w:t>S6 Dokumentasi scikit learn tentang clustering</w:t>
      </w:r>
    </w:p>
    <w:p>
      <w:r>
        <w:t>Rujukan Ward dan ukuran evaluasi. Skor serta keanggotaan merupakan hasil pengolahan proyek, bukan angka dari dokumentasi pustaka.</w:t>
      </w:r>
    </w:p>
    <w:p>
      <w:hyperlink r:id="rId16">
        <w:r>
          <w:rPr>
            <w:color w:val="205C50"/>
            <w:u w:val="single"/>
          </w:rPr>
          <w:t>https://scikit-learn.org/stable/modules/clustering.html</w:t>
        </w:r>
      </w:hyperlink>
    </w:p>
    <w:p>
      <w:pPr>
        <w:pStyle w:val="Heading2"/>
      </w:pPr>
      <w:r>
        <w:t>S9 ANTARA tentang respons kekeringan di Indonesia</w:t>
      </w:r>
    </w:p>
    <w:p>
      <w:r>
        <w:t>31 Juli 2026. Salah satu cuplikan pada slide El Nino. Dipakai sebagai konteks berita, bukan sebagai input perhitungan statistik.</w:t>
      </w:r>
    </w:p>
    <w:p>
      <w:hyperlink r:id="rId17">
        <w:r>
          <w:rPr>
            <w:color w:val="205C50"/>
            <w:u w:val="single"/>
          </w:rPr>
          <w:t>https://en.antaranews.com/news/424896/indonesia-stepping-up-drought-response-as-el-nino-lingers</w:t>
        </w:r>
      </w:hyperlink>
    </w:p>
    <w:p>
      <w:r>
        <w:br w:type="page"/>
      </w:r>
    </w:p>
    <w:p>
      <w:pPr>
        <w:pStyle w:val="Heading1"/>
      </w:pPr>
      <w:r>
        <w:t>Rujukan notebook dan implementasi</w:t>
      </w:r>
    </w:p>
    <w:p>
      <w:pPr>
        <w:pStyle w:val="Heading2"/>
      </w:pPr>
      <w:r>
        <w:t>N1 Heatmap produktivitas</w:t>
      </w:r>
    </w:p>
    <w:p>
      <w:r>
        <w:t>Sel kode 14 menghitung rata-rata episode, tahun puncak dan tahun sesudahnya. Sel 20 menampilkan panel tahun puncak yang cocok dengan PNG. Berkas Heatmap_Timing_Sensitivity.svg menyimpan angka yang sama.</w:t>
      </w:r>
    </w:p>
    <w:p>
      <w:hyperlink r:id="rId18">
        <w:r>
          <w:rPr>
            <w:color w:val="205C50"/>
            <w:u w:val="single"/>
          </w:rPr>
          <w:t>C:\Users\ACER\OneDrive\Dokumen\COMPETITION\RASIO\rice_yield_el_nino_heatmap.ipynb</w:t>
        </w:r>
      </w:hyperlink>
    </w:p>
    <w:p>
      <w:pPr>
        <w:pStyle w:val="Heading2"/>
      </w:pPr>
      <w:r>
        <w:t>N2 Pangsa pemasok dan HHI</w:t>
      </w:r>
    </w:p>
    <w:p>
      <w:r>
        <w:t>Sel kode 10–16 memisahkan World, merekonsiliasi berat, menghitung pangsa dan HHI sebelum pengelompokan Other. Ringkasan di output_stacked_bar.</w:t>
      </w:r>
    </w:p>
    <w:p>
      <w:hyperlink r:id="rId19">
        <w:r>
          <w:rPr>
            <w:color w:val="205C50"/>
            <w:u w:val="single"/>
          </w:rPr>
          <w:t>C:\Users\ACER\OneDrive\Dokumen\COMPETITION\RASIO\rice_import_stacked_bar_2024.ipynb</w:t>
        </w:r>
      </w:hyperlink>
    </w:p>
    <w:p>
      <w:pPr>
        <w:pStyle w:val="Heading2"/>
      </w:pPr>
      <w:r>
        <w:t>N3 Grafik gelembung</w:t>
      </w:r>
    </w:p>
    <w:p>
      <w:r>
        <w:t>Sel kode 8–12 menggabungkan indikator, memeriksa empat reporter, menetapkan median, dan menghitung ukuran gelembung. Judul keterangan luas perlu dibaca bersama formula radius pada kode.</w:t>
      </w:r>
    </w:p>
    <w:p>
      <w:hyperlink r:id="rId20">
        <w:r>
          <w:rPr>
            <w:color w:val="205C50"/>
            <w:u w:val="single"/>
          </w:rPr>
          <w:t>C:\Users\ACER\OneDrive\Dokumen\COMPETITION\RASIO\rice_supply_exposure_bubble_2024_2026.ipynb</w:t>
        </w:r>
      </w:hyperlink>
    </w:p>
    <w:p>
      <w:pPr>
        <w:pStyle w:val="Heading2"/>
      </w:pPr>
      <w:r>
        <w:t>N4 Clustering utama</w:t>
      </w:r>
    </w:p>
    <w:p>
      <w:r>
        <w:t>Sel kode 16–27 menjelaskan pemilihan fitur, RobustScaler, Ward, evaluasi, jumlah peringkat, dan profil. CSV tersimpan di outputs_asean_clustering. Nomor sel dihitung dari 0 termasuk sel Markdown, bukan nomor execution count.</w:t>
      </w:r>
    </w:p>
    <w:p>
      <w:hyperlink r:id="rId21">
        <w:r>
          <w:rPr>
            <w:color w:val="205C50"/>
            <w:u w:val="single"/>
          </w:rPr>
          <w:t>C:\Users\ACER\OneDrive\Dokumen\COMPETITION\RASIO\ASEAN_Rice_Clustering_Analysis_added.ipynb</w:t>
        </w:r>
      </w:hyperlink>
    </w:p>
    <w:p>
      <w:pPr>
        <w:pStyle w:val="Heading2"/>
      </w:pPr>
      <w:r>
        <w:t>N5 Baseline dan simulator</w:t>
      </w:r>
    </w:p>
    <w:p>
      <w:r>
        <w:t>Rumus skenario pada calculateScenario. Konteks iklim pada data\climate-snapshot.json. Notebook build_asean_country_baseline.ipynb di RASIO mengekspor sepuluh profil dan mengaktifkan simulator bagi empat negara defisit.</w:t>
      </w:r>
    </w:p>
    <w:p>
      <w:hyperlink r:id="rId22">
        <w:r>
          <w:rPr>
            <w:color w:val="205C50"/>
            <w:u w:val="single"/>
          </w:rPr>
          <w:t>C:\laragon\www\arise-dashboard\lib\calculations.ts</w:t>
        </w:r>
      </w:hyperlink>
    </w:p>
    <w:p>
      <w:pPr>
        <w:pStyle w:val="Heading2"/>
      </w:pPr>
      <w:r>
        <w:t>Alur berkas proyek</w:t>
      </w:r>
    </w:p>
    <w:p>
      <w:r>
        <w:t>ASEAN_Rice_Clustering_Analysis_added.ipynb menghasilkan asean_master_dataframe.csv dan ringkasan klaster. rice_import_stacked_bar_2024.ipynb menghasilkan pangsa serta HHI. Notebook gelembung menggabungkan dua keluaran tersebut. build_asean_country_baseline.ipynb mengubah master menjadi baseline yang memuat sepuluh negara, dengan empat negara defisit aktif untuk simulator.</w:t>
      </w:r>
    </w:p>
    <w:p>
      <w:pPr>
        <w:pStyle w:val="Heading2"/>
      </w:pPr>
      <w:r>
        <w:t>Periode dan satuan yang harus dijaga</w:t>
      </w:r>
    </w:p>
    <w:p>
      <w:r>
        <w:t>AFSIS memakai proyeksi 2026 dalam ton beras giling; perdagangan memakai berat bersih HS 1006 tahun 2024; heatmap memakai produktivitas padi dalam ton/ha; prakiraan iklim memakai edisi Agustus 2026. Perbandingan lintas periode memberi gambaran struktur, bukan neraca pangan lengkap pada satu tahun. Volume perdagangan tidak langsung dijumlahkan dengan produksi beras giling tanpa penyetaraan bentuk komoditas.</w:t>
      </w:r>
    </w:p>
    <w:sectPr w:rsidR="00FC693F" w:rsidRPr="0006063C" w:rsidSect="00034616">
      <w:footerReference w:type="default" r:id="rId9"/>
      <w:pgSz w:w="11906" w:h="16838"/>
      <w:pgMar w:top="935" w:right="1077" w:bottom="907" w:left="1077" w:header="72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174D4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174D4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google.com/document/d/10AdlkDXqEAECtF0pJVv2Zh1xQy3L8-wFdKMqBrG0UFA/edit?tab=t.0" TargetMode="External"/><Relationship Id="rId11" Type="http://schemas.openxmlformats.org/officeDocument/2006/relationships/hyperlink" Target="https://www.aptfsis.org/wp-content/uploads/aco-pdfs/ACO_no.35.pdf" TargetMode="External"/><Relationship Id="rId12" Type="http://schemas.openxmlformats.org/officeDocument/2006/relationships/hyperlink" Target="https://cpc.ncep.noaa.gov/products/analysis_monitoring/enso/roni/archives/?month=08&amp;type=strengths&amp;year=2026" TargetMode="External"/><Relationship Id="rId13" Type="http://schemas.openxmlformats.org/officeDocument/2006/relationships/hyperlink" Target="https://ourworldindata.org/grapher/rice-yields" TargetMode="External"/><Relationship Id="rId14" Type="http://schemas.openxmlformats.org/officeDocument/2006/relationships/hyperlink" Target="https://cpc.ncep.noaa.gov/products/analysis_monitoring/enso/roni/" TargetMode="External"/><Relationship Id="rId15" Type="http://schemas.openxmlformats.org/officeDocument/2006/relationships/hyperlink" Target="https://comtradeplus.un.org/TradeFlow" TargetMode="External"/><Relationship Id="rId16" Type="http://schemas.openxmlformats.org/officeDocument/2006/relationships/hyperlink" Target="https://scikit-learn.org/stable/modules/clustering.html" TargetMode="External"/><Relationship Id="rId17" Type="http://schemas.openxmlformats.org/officeDocument/2006/relationships/hyperlink" Target="https://en.antaranews.com/news/424896/indonesia-stepping-up-drought-response-as-el-nino-lingers" TargetMode="External"/><Relationship Id="rId18" Type="http://schemas.openxmlformats.org/officeDocument/2006/relationships/hyperlink" Target="C:\Users\ACER\OneDrive\Dokumen\COMPETITION\RASIO\rice_yield_el_nino_heatmap.ipynb" TargetMode="External"/><Relationship Id="rId19" Type="http://schemas.openxmlformats.org/officeDocument/2006/relationships/hyperlink" Target="C:\Users\ACER\OneDrive\Dokumen\COMPETITION\RASIO\rice_import_stacked_bar_2024.ipynb" TargetMode="External"/><Relationship Id="rId20" Type="http://schemas.openxmlformats.org/officeDocument/2006/relationships/hyperlink" Target="C:\Users\ACER\OneDrive\Dokumen\COMPETITION\RASIO\rice_supply_exposure_bubble_2024_2026.ipynb" TargetMode="External"/><Relationship Id="rId21" Type="http://schemas.openxmlformats.org/officeDocument/2006/relationships/hyperlink" Target="C:\Users\ACER\OneDrive\Dokumen\COMPETITION\RASIO\ASEAN_Rice_Clustering_Analysis_added.ipynb" TargetMode="External"/><Relationship Id="rId22" Type="http://schemas.openxmlformats.org/officeDocument/2006/relationships/hyperlink" Target="C:\laragon\www\arise-dashboard\lib\calculation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Naskah presentasi ARISE dalam bahasa Inggris</dc:title>
  <dc:subject>Panduan 16 slide dengan penjelasan metode dalam bahasa Indonesia</dc:subject>
  <dc:creator>Tim Ntar Mikir Dulu</dc:creator>
  <cp:keywords/>
  <dc:description>generated by python-docx</dc:description>
  <cp:lastModifiedBy/>
  <cp:revision>1</cp:revision>
  <dcterms:created xsi:type="dcterms:W3CDTF">2013-12-23T23:15:00Z</dcterms:created>
  <dcterms:modified xsi:type="dcterms:W3CDTF">2013-12-23T23:15:00Z</dcterms:modified>
  <cp:category/>
</cp:coreProperties>
</file>