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kxt32rffrkmj" w:id="0"/>
      <w:bookmarkEnd w:id="0"/>
      <w:r w:rsidDel="00000000" w:rsidR="00000000" w:rsidRPr="00000000">
        <w:rPr>
          <w:rtl w:val="0"/>
        </w:rPr>
        <w:t xml:space="preserve">source_file: 29-april-26-chatgpt-emo.txt original_proposed_location: 03-Working/Step-2-Analytical-Study/2026-04-17-cognitive-architecture-explained.md extraction_date: 2026-04-30 project_area: 01-EML-Book</w:t>
      </w:r>
    </w:p>
    <w:p w:rsidR="00000000" w:rsidDel="00000000" w:rsidP="00000000" w:rsidRDefault="00000000" w:rsidRPr="00000000" w14:paraId="00000003">
      <w:pPr>
        <w:pStyle w:val="Heading1"/>
        <w:rPr/>
      </w:pPr>
      <w:bookmarkStart w:colFirst="0" w:colLast="0" w:name="_97sx2koe6mkg" w:id="1"/>
      <w:bookmarkEnd w:id="1"/>
      <w:r w:rsidDel="00000000" w:rsidR="00000000" w:rsidRPr="00000000">
        <w:rPr>
          <w:rtl w:val="0"/>
        </w:rPr>
        <w:t xml:space="preserve">“Cognitive architecture”</w:t>
      </w:r>
    </w:p>
    <w:p w:rsidR="00000000" w:rsidDel="00000000" w:rsidP="00000000" w:rsidRDefault="00000000" w:rsidRPr="00000000" w14:paraId="00000004">
      <w:pPr>
        <w:pStyle w:val="Heading2"/>
        <w:rPr/>
      </w:pPr>
      <w:bookmarkStart w:colFirst="0" w:colLast="0" w:name="_awblsj8fgcwn" w:id="2"/>
      <w:bookmarkEnd w:id="2"/>
      <w:r w:rsidDel="00000000" w:rsidR="00000000" w:rsidRPr="00000000">
        <w:rPr>
          <w:rtl w:val="0"/>
        </w:rPr>
        <w:t xml:space="preserve">“Cognitive architecture” In this context, cognitive architecture means the designed arrangement of supports, markers, relations, rhythms, and return paths that shapes how thought can form, move, stabilise, and grow. It is not merely what you think. It is the structure that makes certain kinds of thinking possible. A building does not force a person to speak, but it shapes where they can stand, gather, pass, pause, and look. In the same way, cognitive architecture does not supply understanding by itself, but it organizes the conditions under which understanding can emerge. That is very close to the wider EML position, where learning is made visible and revisable through designed relations across structural, cognitive-temporal, and agentic layers.</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Why “architecture” and not just “thinking”? Because “thinking” can sound private, formless, or mysterious. “Architecture” introduces four stronger ideas: a. Arrangement Thought is not only content. It depends on how elements are placed in relation: question next to example definition linked to sketch draft beside revision stable concept distinguished from emerging one b. Load-bearing structure Some marks on a page carry more than others.</w:t>
        <w:br w:type="textWrapping"/>
        <w:t xml:space="preserve">A title may orient a whole page.</w:t>
        <w:br w:type="textWrapping"/>
        <w:t xml:space="preserve">A diagram may carry a whole argument.</w:t>
        <w:br w:type="textWrapping"/>
        <w:t xml:space="preserve">A stable definition may hold together several later reflections. This is why your notes keep moving toward systems that show what feeds the main and what stabilises it. c. Pathways Architecture gives routes: where to enter where to return where to branch where to consolidate This is why pages, colour systems, and weekly cycles matter. They are not passive records. They are routes through knowledge. The project repeatedly frames pedagogy as movement from delivery toward navigation, and that language is architectural language.</w:t>
        <w:br w:type="textWrapping"/>
        <w:t xml:space="preserve">d. Designed conditions Architecture implies that thought can be intentionally supported: by rhythm by scaffolds by visual grammar by protected return by stable symbol roles That is why the weekly template and the ingestion layer are not administrative extras. They are part of the architecture of learning itself.</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A plain-language definition A simple definition would be: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0B">
      <w:pPr>
        <w:ind w:left="600" w:right="600" w:firstLine="0"/>
        <w:rPr/>
      </w:pPr>
      <w:r w:rsidDel="00000000" w:rsidR="00000000" w:rsidRPr="00000000">
        <w:rPr>
          <w:b w:val="1"/>
          <w:bCs w:val="1"/>
          <w:rtl w:val="0"/>
        </w:rPr>
        <w:t xml:space="preserve">Cognitive architecture is the pattern of supports and relations that makes thinking more navigable, more stable, and more revisable over time.</w:t>
      </w:r>
      <w:r w:rsidDel="00000000" w:rsidR="00000000" w:rsidRPr="00000000">
        <w:rPr>
          <w:rtl w:val="0"/>
        </w:rPr>
        <w:t xml:space="preserve"> A stronger EML-style definition would be: </w:t>
      </w:r>
      <w:r w:rsidDel="00000000" w:rsidR="00000000" w:rsidRPr="00000000">
        <w:rPr>
          <w:b w:val="1"/>
          <w:bCs w:val="1"/>
          <w:rtl w:val="0"/>
        </w:rPr>
        <w:t xml:space="preserve">Cognitive architecture is the structured environment in which perception, inscription, return, distinction, and reuse become possible.</w:t>
      </w:r>
      <w:r w:rsidDel="00000000" w:rsidR="00000000" w:rsidRPr="00000000">
        <w:rPr>
          <w:rtl w:val="0"/>
        </w:rPr>
        <w:t xml:space="preserve"> That includes: the page the sequence of notes the colour code the weekly rhythm the questions that reopen thought the diagrams that stabilise relations the human and AI roles in the loop This is consistent with your project’s learning-journal cycle, which treats handwritten notes, analysis, extension, evaluation, and return as stages in a scaffolded engine of thought rather than isolated outputs.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What belongs to cognitive architecture? At the micro scale These are local architectural elements: headings arrows spacing colour roles symbols boxes repeated markers a distinction between question and conclusion These do not merely “look nice.” They regulate attention. At the meso scale These are page- or notebook-level structures: one page holding a concept over time margins used for commentary stable diagram positions recurring page formats a notebook that preserves traces for rereading The page becomes a “temporary cognitive environment” where thought can form, compare, and revise before being promoted into larger structures. At the macro scale These are large-scale architectural structures: the weekly intake template the read-write-reflect-rewrite cycle the weekend ingestion layer the lexicon the book plan the folder system These make thought durable across days, weeks, and chapters. The book itself is meant to become the macro-scale expression of accumulated learning cycles.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Why colour can become cognitive architecture Colour starts as pigment. It becomes cognitive architecture when it takes on a stable role in the thinking environment. For example: blue = structural stability yellow = emergence / question / uncertainty green = growth / extension / application At first, this may seem like a memory aid. But once those roles are stable, colour does more than help recall. It begins to: sort attention distinguish conceptual states make re-entry faster show developmental movement let multiple layers appear at once Then colour is no longer external decoration. It is an organizing principle of perception. That is why one of your portable claims says that a visual marker system reduces cognitive load by organizing attention rather than adding information. So “cognitive architecture” here means that colour becomes part of the built environment of thought.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Difference between aid, scaffold, and architecture This distinction matters. Aid An aid helps in the moment. Example: a highlighted sentence a sticky note a mnemonic Useful, but often temporary. Scaffold A scaffold supports formation. Example: a page structure that preserves partial thought for return a guided prompt sequence a comparison table A scaffold helps something not yet stable become more stable. Architecture Architecture is the wider structured environment in which multiple aids and scaffolds fit together. Example: colour roles recurring page logic weekly rhythms revision practices stable diagram grammar lexicon extraction Architecture does not merely help one task. It shapes a whole mode of thinking. A good way to say this is: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19">
      <w:pPr>
        <w:ind w:left="600" w:right="600" w:firstLine="0"/>
        <w:rPr/>
      </w:pPr>
      <w:r w:rsidDel="00000000" w:rsidR="00000000" w:rsidRPr="00000000">
        <w:rPr>
          <w:rtl w:val="0"/>
        </w:rPr>
        <w:t xml:space="preserve">an aid assists, a scaffold supports formation, an architecture organizes the whole field in which formation occurs. This matches earlier project work where early structures, reflective supports, and subtext gradually consolidate into visible architecture.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Why this matters educationally If education ignores cognitive architecture, it often treats thought as if it appears fully formed once information is delivered. That leads to: rushed coverage flat notes no return paths weak distinctions fragile understanding But if education attends to cognitive architecture, it asks: What is the learner seeing? Where is the learner returning? What remains visible across time? Which markers remain stable? How is partial thought protected? What structure helps a concept mature? That is why your project treats writing as system memory, revision as scaffold thickening, and delay as a design feature rather than a failure.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Comprehensive examples Example 1: The flat worksheet vs the architectural notebook Flat worksheet A student receives: 10 questions blank lines right answers at the end This measures output, but provides little architecture.</w:t>
        <w:br w:type="textWrapping"/>
        <w:t xml:space="preserve">The student may finish the page without building a durable model. Architectural notebook The page includes: a title framing the concept one yellow question zone one blue definition zone one green application zone arrows between earlier and later attempts a margin for “what changed in my understanding?” Now the notebook is not merely capturing answers.</w:t>
        <w:br w:type="textWrapping"/>
        <w:t xml:space="preserve">It is shaping the learner’s route through the concept. That is cognitive architecture.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rPr/>
      </w:pPr>
      <w:bookmarkStart w:colFirst="0" w:colLast="0" w:name="_oshkfncfj3me" w:id="3"/>
      <w:bookmarkEnd w:id="3"/>
      <w:r w:rsidDel="00000000" w:rsidR="00000000" w:rsidRPr="00000000">
        <w:rPr>
          <w:rtl w:val="0"/>
        </w:rPr>
        <w:t xml:space="preserve">Example 2: A robotics lesson You teach sensors and conditional logic. Low architecture Students copy code from the board. They may produce a working robot, but the structure of their understanding is thin. High architecture Students use a page with: yellow: what the robot seems to sense blue: the formal rule for the condition green: where this pattern could be reused a bottom section: “What changed after testing?” Now the page connects: perception formal structure application return That page is doing cognitive work before the teacher even speaks again.</w:t>
      </w:r>
    </w:p>
    <w:p w:rsidR="00000000" w:rsidDel="00000000" w:rsidP="00000000" w:rsidRDefault="00000000" w:rsidRPr="00000000" w14:paraId="00000025">
      <w:pPr>
        <w:rPr/>
      </w:pPr>
      <w:r w:rsidDel="00000000" w:rsidR="00000000" w:rsidRPr="00000000">
        <w:rPr>
          <w:rtl w:val="0"/>
        </w:rPr>
        <w:t xml:space="preserve">Example 3: Your own book process A rough phrase appears: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ind w:left="600" w:right="600" w:firstLine="0"/>
        <w:rPr/>
      </w:pPr>
      <w:r w:rsidDel="00000000" w:rsidR="00000000" w:rsidRPr="00000000">
        <w:rPr>
          <w:rtl w:val="0"/>
        </w:rPr>
        <w:t xml:space="preserve">“The page is not a container but a temporal scaffold.” If it remains a beautiful phrase only, it has energy but limited architecture. If you then add: a definition a contrast case a diagram a place in the lexicon a weekly return point a colour marking for emergence vs stability then the phrase has become part of a wider structure that can carry future work. That is the passage from intuition into architecture.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Thought experiments Thought experiment 1: The room with no walls Imagine a classroom in which every idea is spoken once and disappears. No notes survive.</w:t>
        <w:br w:type="textWrapping"/>
        <w:t xml:space="preserve">No symbols recur.</w:t>
        <w:br w:type="textWrapping"/>
        <w:t xml:space="preserve">No weekly review exists.</w:t>
        <w:br w:type="textWrapping"/>
        <w:t xml:space="preserve">No distinctions are marked.</w:t>
        <w:br w:type="textWrapping"/>
        <w:t xml:space="preserve">No return is built in. Students may have impressions, but they do not inhabit a cognitive architecture. Their thought has no walls, no shelves, no pathways, no return doors. Now imagine a second classroom: ideas are written down colours have stable roles questions remain visible misconceptions are preserved and revisited weekly summaries reconnect scattered fragments The second classroom is not simply “more organized.”</w:t>
        <w:br w:type="textWrapping"/>
        <w:t xml:space="preserve">It is a more habitable architecture for thinking. Question:</w:t>
        <w:br w:type="textWrapping"/>
        <w:t xml:space="preserve">Which classroom makes deeper thought more likely, even if both have the same teacher and content?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rPr/>
      </w:pPr>
      <w:bookmarkStart w:colFirst="0" w:colLast="0" w:name="_nr7o5guv8ajy" w:id="4"/>
      <w:bookmarkEnd w:id="4"/>
      <w:r w:rsidDel="00000000" w:rsidR="00000000" w:rsidRPr="00000000">
        <w:rPr>
          <w:rtl w:val="0"/>
        </w:rPr>
        <w:t xml:space="preserve">Thought experiment 2: The map and the fog Imagine walking through a large unfamiliar city in thick fog. First condition You have no map, no street names, no landmarks. You move, but each step is local. You cannot form the city as a whole. Second condition You have: colour-coded districts route markers major landmarks a trace of where you came from a place to mark what you discovered Now you are not merely moving. You are navigating. This is what cognitive architecture does for thought.</w:t>
        <w:br w:type="textWrapping"/>
        <w:t xml:space="preserve">It does not remove complexity. It gives it routes, edges, and reference points.</w:t>
      </w:r>
    </w:p>
    <w:p w:rsidR="00000000" w:rsidDel="00000000" w:rsidP="00000000" w:rsidRDefault="00000000" w:rsidRPr="00000000" w14:paraId="0000002F">
      <w:pPr>
        <w:pStyle w:val="Heading2"/>
        <w:rPr/>
      </w:pPr>
      <w:bookmarkStart w:colFirst="0" w:colLast="0" w:name="_6keg6aafcn3w" w:id="5"/>
      <w:bookmarkEnd w:id="5"/>
      <w:r w:rsidDel="00000000" w:rsidR="00000000" w:rsidRPr="00000000">
        <w:rPr>
          <w:rtl w:val="0"/>
        </w:rPr>
        <w:t xml:space="preserve">Thought experiment 3: The notebook that reads back Imagine two notebooks. Notebook A Stores your words exactly as written. Notebook B Has an internal grammar: yellow questions blue stabilised ideas green applications arrows showing conceptual return a margin asking: “What changed?” After one month, which notebook is more likely to teach you something back? Notebook B is no longer passive storage. It has become a partner in cognition. Not because it thinks independently, but because its architecture helps your own thought return in a more structured form.</w:t>
      </w:r>
    </w:p>
    <w:p w:rsidR="00000000" w:rsidDel="00000000" w:rsidP="00000000" w:rsidRDefault="00000000" w:rsidRPr="00000000" w14:paraId="00000030">
      <w:pPr>
        <w:pStyle w:val="Heading2"/>
        <w:rPr/>
      </w:pPr>
      <w:bookmarkStart w:colFirst="0" w:colLast="0" w:name="_tzrpdxrwljn9" w:id="6"/>
      <w:bookmarkEnd w:id="6"/>
      <w:r w:rsidDel="00000000" w:rsidR="00000000" w:rsidRPr="00000000">
        <w:rPr>
          <w:rtl w:val="0"/>
        </w:rPr>
        <w:t xml:space="preserve">Thought experiment 4: The collapsing colour system Imagine you decide to use five colours, but each day their meanings change. On Monday yellow means “question.”</w:t>
        <w:br w:type="textWrapping"/>
        <w:t xml:space="preserve">On Tuesday it means “important.”</w:t>
        <w:br w:type="textWrapping"/>
        <w:t xml:space="preserve">On Wednesday it means “quote.”</w:t>
        <w:br w:type="textWrapping"/>
        <w:t xml:space="preserve">On Thursday it means “mistake.” Soon the colour disappears as architecture. It becomes noise. Now imagine a restrained system used consistently for months.</w:t>
        <w:br w:type="textWrapping"/>
        <w:t xml:space="preserve">Eventually, the colour is no longer decoded laboriously. It becomes cognitively installed, like a trusted operator in the mind. That is very close to your earlier work on markers becoming signatures through stability. Question:</w:t>
        <w:br w:type="textWrapping"/>
        <w:t xml:space="preserve">At what point does a repeated visual role become part of thought rather than part of presentation?</w:t>
      </w:r>
    </w:p>
    <w:p w:rsidR="00000000" w:rsidDel="00000000" w:rsidP="00000000" w:rsidRDefault="00000000" w:rsidRPr="00000000" w14:paraId="00000031">
      <w:pPr>
        <w:pStyle w:val="Heading2"/>
        <w:rPr/>
      </w:pPr>
      <w:bookmarkStart w:colFirst="0" w:colLast="0" w:name="_wth310mtwzt9" w:id="7"/>
      <w:bookmarkEnd w:id="7"/>
      <w:r w:rsidDel="00000000" w:rsidR="00000000" w:rsidRPr="00000000">
        <w:rPr>
          <w:rtl w:val="0"/>
        </w:rPr>
        <w:t xml:space="preserve">Thought experiment 5: The invisible staircase Imagine a learner climbing a staircase in dim light. Each step is a partial understanding: first impression rough phrase example distinction definition reuse If the staircase is visible, the learner knows: where they are what comes next what counts as progress If the staircase is invisible, each moment feels isolated. The learner may think, “I still do not understand,” even though real development is happening. Cognitive architecture makes the staircase visible.</w:t>
        <w:br w:type="textWrapping"/>
        <w:t xml:space="preserve">It gives form to becoming.</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A deeper philosophical reading At the deepest level, “cognitive architecture” means that thought is not only internal spirit. It is co-formed by arrangement. The page matters.</w:t>
        <w:br w:type="textWrapping"/>
        <w:t xml:space="preserve">The marker matters.</w:t>
        <w:br w:type="textWrapping"/>
        <w:t xml:space="preserve">The return path matters.</w:t>
        <w:br w:type="textWrapping"/>
        <w:t xml:space="preserve">The rhythm matters.</w:t>
        <w:br w:type="textWrapping"/>
        <w:t xml:space="preserve">The distinction between emerging and stable thought matters. In other words: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34">
      <w:pPr>
        <w:ind w:left="600" w:right="600" w:firstLine="0"/>
        <w:rPr/>
      </w:pPr>
      <w:r w:rsidDel="00000000" w:rsidR="00000000" w:rsidRPr="00000000">
        <w:rPr>
          <w:rtl w:val="0"/>
        </w:rPr>
        <w:t xml:space="preserve">intelligence does not arise only from what is in the head, but from the structured relation between mind, mark, time, and world. This sits very near your broader EML direction, where learning is not the transfer of finished units but the design of conditions under which models can form, be revised, and become reusable.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Final compression A concise version: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3A">
      <w:pPr>
        <w:ind w:left="600" w:right="600" w:firstLine="0"/>
        <w:rPr/>
      </w:pPr>
      <w:r w:rsidDel="00000000" w:rsidR="00000000" w:rsidRPr="00000000">
        <w:rPr>
          <w:b w:val="1"/>
          <w:bCs w:val="1"/>
          <w:rtl w:val="0"/>
        </w:rPr>
        <w:t xml:space="preserve">Cognitive architecture is the built form of thought.</w:t>
      </w:r>
      <w:r w:rsidDel="00000000" w:rsidR="00000000" w:rsidRPr="00000000">
        <w:rPr>
          <w:rtl w:val="0"/>
        </w:rPr>
        <w:t xml:space="preserve"> A fuller version: </w:t>
      </w:r>
      <w:r w:rsidDel="00000000" w:rsidR="00000000" w:rsidRPr="00000000">
        <w:rPr>
          <w:b w:val="1"/>
          <w:bCs w:val="1"/>
          <w:rtl w:val="0"/>
        </w:rPr>
        <w:t xml:space="preserve">Cognitive architecture is the designed arrangement of pages, markers, rhythms, return paths, and distinctions that allows thought to become visible, revisable, and more structurally real across time.</w:t>
      </w:r>
      <w:r w:rsidDel="00000000" w:rsidR="00000000" w:rsidRPr="00000000">
        <w:rPr>
          <w:rtl w:val="0"/>
        </w:rPr>
        <w:t xml:space="preserve"> And in relation to your colour discussion: </w:t>
      </w:r>
      <w:r w:rsidDel="00000000" w:rsidR="00000000" w:rsidRPr="00000000">
        <w:rPr>
          <w:b w:val="1"/>
          <w:bCs w:val="1"/>
          <w:rtl w:val="0"/>
        </w:rPr>
        <w:t xml:space="preserve">Colour becomes cognitive architecture when it stops merely attracting attention and starts reliably organizing how thought is formed, revisited, and extended.</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Tagging Book Part: Grammar EML Layer(s): Structural / Cognitive-Temporal / Agentic</w:t>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