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to6bgo3m6a2" w:id="0"/>
      <w:bookmarkEnd w:id="0"/>
      <w:r w:rsidDel="00000000" w:rsidR="00000000" w:rsidRPr="00000000">
        <w:rPr>
          <w:rtl w:val="0"/>
        </w:rPr>
        <w:t xml:space="preserve">source_file: 29-april-26-chatgpt-emo.txt original_proposed_location: 03-Working/Step-2-Analytical-Study/2026-04-18-four-core-concepts-of-the-book-as-model.md extraction_date: 2026-04-30 project_area: 01-EML-Book</w:t>
      </w:r>
    </w:p>
    <w:p w:rsidR="00000000" w:rsidDel="00000000" w:rsidP="00000000" w:rsidRDefault="00000000" w:rsidRPr="00000000" w14:paraId="00000003">
      <w:pPr>
        <w:pStyle w:val="Heading1"/>
        <w:rPr/>
      </w:pPr>
      <w:bookmarkStart w:colFirst="0" w:colLast="0" w:name="_bxxo1zpl0s8y" w:id="1"/>
      <w:bookmarkEnd w:id="1"/>
      <w:r w:rsidDel="00000000" w:rsidR="00000000" w:rsidRPr="00000000">
        <w:rPr>
          <w:rtl w:val="0"/>
        </w:rPr>
        <w:t xml:space="preserve">1. “The book is also proof of method”</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“The book is also proof of method” This means the book is not only the result of EML; it is also the evidence that the EML method works. The project repeatedly defines the book as something generated through the Learning Journal Cycle, weekly intake, staged reformulation, diagram extraction, and lexicon growth, rather than through a single act of composition. In that sense, the book demonstrates its own claims by showing that raw handwriting can be transformed into structured thought, reusable concepts, diagrams, and chapter drafts through disciplined return. The method does not sit outside the manuscript as hidden machinery. It leaves visible traces in the book’s form, rhythm, and organisation.</w:t>
        <w:br w:type="textWrapping"/>
        <w:t xml:space="preserve">This is why the end-goals file says the project itself must serve as a proof of concept, with visible progression from raw handwriting to essays to part drafts, and with the read–write–AI loop embodied in the book’s development. The book becomes proof because it is built through the very operations it teaches: inscription, rereading, revision, delay, scaffold thickening, and redistribution. In stronger terms, the method is not merely discussed; it is performed. A reader encountering such a book should be able to feel that the work has been grown through a disciplined learning system, not merely assembled from finished opinions.</w:t>
        <w:br w:type="textWrapping"/>
        <w:t xml:space="preserve">There is also a deeper epistemic point here. If EML argues that knowledge becomes visible, traceable, and revisable through relations rather than facts, then a book faithful to EML cannot simply present polished claims stripped of their developmental logic. It must bear some sign of the process by which thought thickened. That does not mean showing every draft. It means the final artifact still carries the logic of emergence: layers, returns, distinctions, diagrammatic supports, and a structure that reveals how ideas connect and mature. The book, then, becomes a worked example of the grammar it proposes.</w:t>
        <w:br w:type="textWrapping"/>
        <w:t xml:space="preserve">A useful contrast is this: An ordinary book may state: “Here is my theory.” A book that is proof of method says: “Here is a theory, and the structure of this book shows the learning architecture by which such a theory can be formed.” That second mode has more integrity. It closes the gap between argument and construction.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“Not asked only to absorb propositions” This phrase means the reader is not positioned as a passive receiver of finished statements. A proposition is a claim, assertion, or declared idea. Many books assume reading means taking these claims in, understanding them, and perhaps agreeing or disagreeing. But the EML project aims for something more active. The reader is meant to work with relations, visual cues, structural distinctions, and rhythms of return, rather than simply consume sentences one after another. The book plan describes this as a visual-first work with reflection, and the colour-marker material explicitly reframes writing as guidance rather than storage.</w:t>
        <w:br w:type="textWrapping"/>
        <w:t xml:space="preserve">So “not asked only to absorb propositions” means the reader is being invited to: compare diagrams and text, notice patterns across pages, revisit earlier ideas from a new position, move between parts of the book as a terrain, engage reflection as part of reading. This changes the role of the reader. The reader becomes less like a spectator at a lecture and more like a navigator moving through a designed cognitive environment. That is consistent with the project’s definition of pedagogy shifting from delivery to navigation, and with the claim that assessment should read patterns over time rather than isolated answers.</w:t>
        <w:br w:type="textWrapping"/>
        <w:t xml:space="preserve">There is also a philosophical distinction here between information transfer and formative participation. To absorb propositions is to take in already-shaped content. But EML is concerned with how the mind builds structure. That requires more than reception. It requires return, distinction, relation, and self-location within the knowledge space. The reader must therefore do some constructive work. The book should help that work happen by giving prompts, visual anchors, and structural recurrences, not by leaving the reader alone with dense exposition.</w:t>
        <w:br w:type="textWrapping"/>
        <w:t xml:space="preserve">A simple example: In a conventional chapter, the reader may encounter a definition, then examples, then a conclusion. In an EML-style chapter, the reader may encounter a diagram that frames the terrain, then explanatory prose, then a reflective return that repositions the earlier diagram. In the second case, reading is not just intake. It is movement and reconstitution.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“Making navigation visible” This is one of the central ideas in the current EML line. It means the book should not leave the reader to infer the structure of movement privately and invisibly. Instead, it should provide visible cues that show how to move through the knowledge space. These cues may include chapter rhythm, recurring diagrams, restrained colour, markers, cross-references, visual contrasts, and page layouts that make the relation between concepts legible. The project’s visual plan explicitly supports this: recurring symbols, selective colour, and a left-page visual / right-page reflection rhythm are all intended to turn the book into a navigable terrain rather than a uniform block of prose.</w:t>
        <w:br w:type="textWrapping"/>
        <w:t xml:space="preserve">The phrase “making navigation visible” also links directly to your colour-marker work. There, the page is said to function as a navigation system rather than a container of information. Colour and markers are not decorative extras. They organise perception, preserve traceability, reduce cognitive load, and guide return. This same principle scales upward from notebook page to chapter to whole book. If a single page can guide movement, then a whole manuscript can do so as well. Why does this matter? Because complex thought easily becomes opaque when its internal structure is hidden. A reader may sense importance but not know where to look, what belongs together, or how one idea transforms into another. Visible navigation solves this by externalising pathways. It gives the reader handles. It shows: where to enter, what is central, what belongs to background structure, what is emerging, what should be revisited later. This matters especially in a book that aims to teach a grammar of learning. If the navigation remains invisible, then the reader receives only content. If the navigation is made visible, then the reader also receives a model of how complex thought can be traversed and built.</w:t>
        <w:br w:type="textWrapping"/>
        <w:t xml:space="preserve">At a deeper level, visible navigation is a refusal of the myth that good understanding is always immediate and purely internal. EML assumes that thought often needs external supports: pages, diagrams, returns, markers, weekly cycles, prompts. Making navigation visible is therefore an epistemic kindness. It acknowledges that cognition benefits from designed pathways.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four-part spine—Orientation, Grammar, Circuits in Practice, and Futures—organises the terrain through which the reader moves” This means the four-part structure is not merely a table of contents. It is the macro-architecture of the book’s knowledge space. Each part plays a distinct role in orienting the reader, and together they form a progression through which the reader can move from entry, to operations, to lived application, to projection. The book plan names these four parts explicitly, and the weekly knowledge base describes them as defining the spine of the work.</w:t>
        <w:br w:type="textWrapping"/>
        <w:t xml:space="preserve">Orientation Orientation establishes where the reader is and why the terrain matters. It opens the knowledge space through lived experience, inheritance, cognitive colonisation, canon, self-location, and time. In other words, it gives the reader bearings. Before teaching the grammar, the book must first show what kind of world the grammar is responding to and why ordinary educational language may be insufficient. Orientation is the act of arriving and being placed.</w:t>
        <w:br w:type="textWrapping"/>
        <w:t xml:space="preserve">Grammar Grammar presents the core operations and distinctions of EML. Here the reader learns the symbolic and conceptual machinery: scaffolds, read–write cycles, knowledge space, anchoring, drift, and other operations. If Orientation says, “Here is the terrain,” Grammar says, “Here are the rules and tools by which this terrain can be read and shaped.” This part gives precision and operational clarity. It is where the book’s own model-like qualities become most explicit.</w:t>
        <w:br w:type="textWrapping"/>
        <w:t xml:space="preserve">Circuits in Practice Circuits in Practice grounds the grammar in concrete educational and human–AI scenes. This is where the reader sees what the grammar looks like when it is enacted in classrooms, routines, staff development, AI systems, and observed learning processes. If Grammar gives the operations, Circuits show those operations under load. This prevents the book from remaining abstract. It gives the reader dynamic examples of the grammar functioning in real settings.</w:t>
        <w:br w:type="textWrapping"/>
        <w:t xml:space="preserve">Futures Futures extends the grammar into emerging agentic systems, technics, delegated agency, and human–AI ecologies. It asks what the grammar becomes when projected forward into new conditions of education and intelligence. This part is not simply speculative for its own sake. It tests whether the earlier parts can scale into future conditions without collapsing. It also ensures the book is not merely retrospective or diagnostic, but generative and projective.</w:t>
        <w:br w:type="textWrapping"/>
        <w:t xml:space="preserve">So when you say the four-part spine “organises the terrain through which the reader moves,” the key word is terrain. The reader is not moving through a pile of chapters but through a structured world: Orientation gives bearings. Grammar gives the operations. Circuits in Practice shows the operations in use. Futures projects the system forward. This progression is both conceptual and experiential. It mirrors how understanding often develops: first one is situated, then one learns the grammar, then one sees it enacted, then one projects it into broader horizons. That is why the spine is not just organisational convenience. It is itself part of the teaching method.</w:t>
        <w:br w:type="textWrapping"/>
        <w:t xml:space="preserve">Deeper implication The four-part spine also prevents collapse into one-scale thinking. Without Orientation, the grammar would float without lived ground. Without Grammar, practice would remain impressionistic. Without Circuits, theory would remain sterile. Without Futures, the whole system would remain closed and non-generative. The spine therefore stabilises the book across scales: existential, operational, practical, and speculative. This matches the project’s broader multi-scale logic, where small inscriptions grow into larger structures and larger structures reshape smaller elements through return.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Compressed synthesis Taken together, these four concepts describe a single ambition: the book is made by the method it teaches, the reader is invited to participate, not merely receive, the structure of movement is made visible, and the four-part spine gives that movement a coherent terrain. This is what allows the book to become not only a statement about EML, but a lived demonstration of it.</w:t>
        <w:br w:type="textWrapping"/>
        <w:t xml:space="preserve">Tagging Book Part: Orientation / Grammar EML Layer(s): Structural / Cognitive-Temporal / Agentic</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