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a9h9mk5d0il2" w:id="0"/>
      <w:bookmarkEnd w:id="0"/>
      <w:r w:rsidDel="00000000" w:rsidR="00000000" w:rsidRPr="00000000">
        <w:rPr>
          <w:rtl w:val="0"/>
        </w:rPr>
        <w:t xml:space="preserve">source_file: 29-april-26-chatgpt-emo.txt original_proposed_location: 03-Working/Step-3-Essays/2026-04-03-page-navigation-system-correction-note.md extraction_date: 2026-04-30 project_area: 01-EML-Book</w:t>
      </w:r>
    </w:p>
    <w:p w:rsidR="00000000" w:rsidDel="00000000" w:rsidP="00000000" w:rsidRDefault="00000000" w:rsidRPr="00000000" w14:paraId="00000003">
      <w:pPr>
        <w:pStyle w:val="Heading1"/>
        <w:rPr/>
      </w:pPr>
      <w:bookmarkStart w:colFirst="0" w:colLast="0" w:name="_k5472afrxfu6" w:id="1"/>
      <w:bookmarkEnd w:id="1"/>
      <w:r w:rsidDel="00000000" w:rsidR="00000000" w:rsidRPr="00000000">
        <w:rPr>
          <w:rtl w:val="0"/>
        </w:rPr>
        <w:t xml:space="preserve">You are right. I made an error by blending Tagalli and Tajalli. Thank you for catching it.</w:t>
      </w:r>
    </w:p>
    <w:p w:rsidR="00000000" w:rsidDel="00000000" w:rsidP="00000000" w:rsidRDefault="00000000" w:rsidRPr="00000000" w14:paraId="00000004">
      <w:pPr>
        <w:rPr/>
      </w:pPr>
      <w:r w:rsidDel="00000000" w:rsidR="00000000" w:rsidRPr="00000000">
        <w:rPr>
          <w:rtl w:val="0"/>
        </w:rPr>
        <w:t xml:space="preserve">You are right. I made an error by blending Tagalli and Tajalli. Thank you for catching it. In Ibn ʿArabi, tajallī refers to divine self-disclosure, self-manifestation, or theophany: the way the Real discloses itself in forms, in the cosmos, and in consciousness. In modern scholarship on Ibn ʿArabi, this is often rendered as “self-disclosure,” “self-manifestation,” or “epiphany.” citeturn886215search0turn886215search8turn886215search15 That is not the same as what I was doing in the earlier reading of your notes. I treated it as though it named a return to the same place with altered perception. That may still be a productive idea in your own system, but it should not have been attributed to Ibn ʿArabi’s tajallī. In Ibn ʿArabi, the emphasis is on the disclosure of the Real, not simply revisiting a location. citeturn886215search0turn886215search2turn886215search10 A better correction is this: Tajallī (Ibn ʿArabi): the Real becomes manifest or disclosed in forms, without being reduced to those forms. Your notebook idea: a return to the same site, image, or marker where changed consciousness produces changed meaning. Relation between them: there may be an analogy, but they are not identical. Your idea is closer to a readerly or phenomenological return, whereas Ibn ʿArabi’s term belongs to a metaphysics of divine disclosure. citeturn886215search5turn886215search8turn886215search15 So the corrected sentence in the earlier analysis should have been something like: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note introduces a return-to-place structure in which the same position yields new meaning because the observer has changed. This should be treated as the author’s own conceptual move, not equated directly with Ibn ʿArabi’s tajallī.” And if you want to keep Ibn ʿArabi present, the safer formulation is: “This may resonate analogically with tajallī as renewed disclosure, but it is not the same concept.” That correction also sharpens the philosophy. It keeps your term alive as your own operation instead of borrowing authority where the fit is not exact. Revised tagging note for that section: Do not label it “Tajalli” unless you explicitly mean divine self-disclosure in the Ibn ʿArabi sense. If you mean recurrence, renewed perception, or return to the same place with altered consciousness, it needs another term or a clarified local definition.</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