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s3wx6wqxea5d" w:id="0"/>
      <w:bookmarkEnd w:id="0"/>
      <w:r w:rsidDel="00000000" w:rsidR="00000000" w:rsidRPr="00000000">
        <w:rPr>
          <w:rtl w:val="0"/>
        </w:rPr>
        <w:t xml:space="preserve">source_file: 29-april-26-chatgpt-emo.txt original_proposed_location: 03-Working/Step-1-Polished-Notes/2026-04-08-vessel-translation-read-write.md extraction_date: 2026-04-30 project_area: 02-Reading-Writing-Model</w:t>
      </w:r>
    </w:p>
    <w:p w:rsidR="00000000" w:rsidDel="00000000" w:rsidP="00000000" w:rsidRDefault="00000000" w:rsidRPr="00000000" w14:paraId="00000003">
      <w:pPr>
        <w:pStyle w:val="Heading1"/>
        <w:rPr/>
      </w:pPr>
      <w:bookmarkStart w:colFirst="0" w:colLast="0" w:name="_yql7k4g90lsq" w:id="1"/>
      <w:bookmarkEnd w:id="1"/>
      <w:r w:rsidDel="00000000" w:rsidR="00000000" w:rsidRPr="00000000">
        <w:rPr>
          <w:rtl w:val="0"/>
        </w:rPr>
        <w:t xml:space="preserve">Step 1 · Polished Notes (Grounding)</w:t>
      </w:r>
    </w:p>
    <w:p w:rsidR="00000000" w:rsidDel="00000000" w:rsidP="00000000" w:rsidRDefault="00000000" w:rsidRPr="00000000" w14:paraId="00000004">
      <w:pPr>
        <w:pStyle w:val="Heading2"/>
        <w:rPr/>
      </w:pPr>
      <w:bookmarkStart w:colFirst="0" w:colLast="0" w:name="_fk7vpkkdyf4q" w:id="2"/>
      <w:bookmarkEnd w:id="2"/>
      <w:r w:rsidDel="00000000" w:rsidR="00000000" w:rsidRPr="00000000">
        <w:rPr>
          <w:rtl w:val="0"/>
        </w:rPr>
        <w:t xml:space="preserve">Step 1 · Polished Notes (Grounding) Step 1 · Item 01 – The Vessel, Translation, and the Movement of Meaning Date of original handwriting: April 8, 2026 Source: Handwritten journal page (Week 15, Wednesday) Related themes: read–write cycle, translation as transformation, temporal scaffold, portals, accretion, cognitive development, representation</w:t>
      </w:r>
    </w:p>
    <w:p w:rsidR="00000000" w:rsidDel="00000000" w:rsidP="00000000" w:rsidRDefault="00000000" w:rsidRPr="00000000" w14:paraId="00000005">
      <w:pPr>
        <w:pStyle w:val="Heading2"/>
        <w:rPr/>
      </w:pPr>
      <w:bookmarkStart w:colFirst="0" w:colLast="0" w:name="_8ed6rwfzzwzc" w:id="3"/>
      <w:bookmarkEnd w:id="3"/>
      <w:r w:rsidDel="00000000" w:rsidR="00000000" w:rsidRPr="00000000">
        <w:rPr>
          <w:rtl w:val="0"/>
        </w:rPr>
        <w:t xml:space="preserve">Summary (3–7 sentences) This note frames thinking as a movement through pathways—not static, but as pulses of cognitive flow directed toward areas that require development. It introduces The Vessel (the Uthulujia) as a metaphor and historical case of how knowledge travels, transforms, and is reinterpreted across cultures, particularly through translation from Greek to the Islamic intellectual world. The act of reading becomes a threshold or portal, where meaning is not simply received but reshaped and re-expressed according to context. Writing is positioned as a continuation of reading—an inscription of interpretation conditioned by time, place, and worldview. The note suggests that meaning emerges through accretion, where fragments gather into a core structure. Ultimately, it presents learning as a dynamic interplay between reception, transformation, and re-expression—what you call the read–write movement.</w:t>
      </w:r>
    </w:p>
    <w:p w:rsidR="00000000" w:rsidDel="00000000" w:rsidP="00000000" w:rsidRDefault="00000000" w:rsidRPr="00000000" w14:paraId="00000006">
      <w:pPr>
        <w:pStyle w:val="Heading2"/>
        <w:rPr/>
      </w:pPr>
      <w:bookmarkStart w:colFirst="0" w:colLast="0" w:name="_bkvextr6u8mu" w:id="4"/>
      <w:bookmarkEnd w:id="4"/>
      <w:r w:rsidDel="00000000" w:rsidR="00000000" w:rsidRPr="00000000">
        <w:rPr>
          <w:rtl w:val="0"/>
        </w:rPr>
        <w:t xml:space="preserve">Polished Body (aligned closely to the handwriting) The pathway taken should be seen as pulses of cognitive flow, directed into an area that requires development. There is always a sense that certain regions of thought call for attention—an area that implies a critical perspective, perhaps even a form of SWOT-like analysis without formalisation.</w:t>
      </w:r>
    </w:p>
    <w:p w:rsidR="00000000" w:rsidDel="00000000" w:rsidP="00000000" w:rsidRDefault="00000000" w:rsidRPr="00000000" w14:paraId="00000007">
      <w:pPr>
        <w:pStyle w:val="Heading2"/>
        <w:rPr/>
      </w:pPr>
      <w:bookmarkStart w:colFirst="0" w:colLast="0" w:name="_4q7wv02zmqzo" w:id="5"/>
      <w:bookmarkEnd w:id="5"/>
      <w:r w:rsidDel="00000000" w:rsidR="00000000" w:rsidRPr="00000000">
        <w:rPr>
          <w:rtl w:val="0"/>
        </w:rPr>
        <w:t xml:space="preserve">The Vessel (the Uthulujia) Aristotle, in translation—moving into Arabic through the Uthulujia (via Al-Kindi and others)—travels through the Islamic world of thought. Figures such as Ibn Sina and Ibn Arabi engage with these materials. The Uthulujia, often linked to Plotinus, becomes a bridge between the Greek world and the Islamic intellectual world. In this movement, we see a pattern paradigm: knowledge moves across contexts, gathering and deriving new qualities as it is reinterpreted within different cultural and philosophical frameworks. Each translation is not a copy, but a redefinition shaped by worldview. The threshold is the bridge: how a given mind receives a message and lets its reading be represented. In this sense, the reader writes—not arbitrarily, but based on how the reading informs and inscribes itself within the mind. This inscription is then redefined to fit a historical context—a specific moment in time and place—as seen in figures such as Al-Kindi and Henry Corbin.</w:t>
      </w:r>
    </w:p>
    <w:p w:rsidR="00000000" w:rsidDel="00000000" w:rsidP="00000000" w:rsidRDefault="00000000" w:rsidRPr="00000000" w14:paraId="00000008">
      <w:pPr>
        <w:pStyle w:val="Heading2"/>
        <w:rPr/>
      </w:pPr>
      <w:bookmarkStart w:colFirst="0" w:colLast="0" w:name="_yjckuzlz1dyc" w:id="6"/>
      <w:bookmarkEnd w:id="6"/>
      <w:r w:rsidDel="00000000" w:rsidR="00000000" w:rsidRPr="00000000">
        <w:rPr>
          <w:rtl w:val="0"/>
        </w:rPr>
        <w:t xml:space="preserve">The Soul and the Act of Reading In this movement, the soul—understood as an essential formulation (as in Plotinus or Aristotle)—moves and is restructured through the act of reading. This points to a meta-cognitive interaction: reading is not passive; it establishes a representation shaped by the interpretive traditions (here, the Islamic scholarly dynamic). Reading and writing together shape meaning in a new light—like viewing through a prism or lens, where light refracts and produces variation. Meaning is not transmitted intact; it is reshaped through the vessel of the reader.</w:t>
      </w:r>
    </w:p>
    <w:p w:rsidR="00000000" w:rsidDel="00000000" w:rsidP="00000000" w:rsidRDefault="00000000" w:rsidRPr="00000000" w14:paraId="00000009">
      <w:pPr>
        <w:pStyle w:val="Heading2"/>
        <w:rPr/>
      </w:pPr>
      <w:bookmarkStart w:colFirst="0" w:colLast="0" w:name="_17tbhlj6mw9" w:id="7"/>
      <w:bookmarkEnd w:id="7"/>
      <w:r w:rsidDel="00000000" w:rsidR="00000000" w:rsidRPr="00000000">
        <w:rPr>
          <w:rtl w:val="0"/>
        </w:rPr>
        <w:t xml:space="preserve">The Vessel and the Read–Write Movement The vessel is both: the text (writing) and the reader who carries the message across the portal This dual role establishes a practice: the attempt to define truth, nature, and the meaning of being as originating from a primary source or seed. This source gives rise to dynamism—a movement toward expression. This is aligned with the idea of read–write: reading initiates movement writing expresses and stabilises it The initial idea begins as fragments. These fragments gradually establish a core—like pearls forming within an oyster. This is accretion: the slow formation of structure through layered return.</w:t>
      </w:r>
    </w:p>
    <w:p w:rsidR="00000000" w:rsidDel="00000000" w:rsidP="00000000" w:rsidRDefault="00000000" w:rsidRPr="00000000" w14:paraId="0000000A">
      <w:pPr>
        <w:pStyle w:val="Heading2"/>
        <w:rPr/>
      </w:pPr>
      <w:bookmarkStart w:colFirst="0" w:colLast="0" w:name="_orwbunrq8oie" w:id="8"/>
      <w:bookmarkEnd w:id="8"/>
      <w:r w:rsidDel="00000000" w:rsidR="00000000" w:rsidRPr="00000000">
        <w:rPr>
          <w:rtl w:val="0"/>
        </w:rPr>
        <w:t xml:space="preserve">Numbered Constructs (from the page) Condition of the Soul Ascending</w:t>
        <w:br w:type="textWrapping"/>
        <w:t xml:space="preserve">The soul returns through ontological layers—suggesting a passage upward through levels of being. Corbin / Mundus Imaginalis</w:t>
        <w:br w:type="textWrapping"/>
        <w:t xml:space="preserve">A reference to the imaginal realm as a mediating layer between perception and reality. Portals</w:t>
        <w:br w:type="textWrapping"/>
        <w:t xml:space="preserve">The act of translation (e.g., Aristotle through the Uthulujia) functions as a portal—an entry point where meaning passes and transforms. The Cascade</w:t>
        <w:br w:type="textWrapping"/>
        <w:t xml:space="preserve">A linking of scaffolds—supports, structures, and steps—that make understanding possible. Knowledge is not isolated; it is built through connected stages. The Main Branch: Becoming</w:t>
        <w:br w:type="textWrapping"/>
        <w:t xml:space="preserve">Development occurs as ideas are integrated into a core structure. Becoming is not immediate; it is the result of integration into an essential or formal structure.</w:t>
      </w:r>
    </w:p>
    <w:p w:rsidR="00000000" w:rsidDel="00000000" w:rsidP="00000000" w:rsidRDefault="00000000" w:rsidRPr="00000000" w14:paraId="0000000B">
      <w:pPr>
        <w:rPr/>
      </w:pPr>
      <w:r w:rsidDel="00000000" w:rsidR="00000000" w:rsidRPr="00000000">
        <w:rPr>
          <w:rtl w:val="0"/>
        </w:rPr>
        <w:t xml:space="preserve">Closing Line (preserved essence)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rtl w:val="0"/>
        </w:rPr>
        <w:t xml:space="preserve">The fragments begin to establish the core—the pearls in the oyster—accreting into becoming.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ibonur278pr7" w:id="9"/>
      <w:bookmarkEnd w:id="9"/>
      <w:r w:rsidDel="00000000" w:rsidR="00000000" w:rsidRPr="00000000">
        <w:rPr>
          <w:rtl w:val="0"/>
        </w:rPr>
        <w:t xml:space="preserve">Tagging Book Part: Grammar / Circuits EML Layer(s): Structural (vessel, portal, scaffold, accretion) Cognitive-Temporal (flow, pulses, translation over time, return) Agentic (reader as interpreter, writer as carrier of meaning)</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