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hv51w1r3y5e1" w:id="0"/>
      <w:bookmarkEnd w:id="0"/>
      <w:r w:rsidDel="00000000" w:rsidR="00000000" w:rsidRPr="00000000">
        <w:rPr>
          <w:rtl w:val="0"/>
        </w:rPr>
        <w:t xml:space="preserve">source_file: 29-april-26-chatgpt-emo.txt original_proposed_location: 03-Working/Step-2-Analytical-Study/2026-04-01-read-write-indistinct-vision-to-scaffolded-form.md extraction_date: 2026-04-30 project_area: 02-Reading-Writing-Model</w:t>
      </w:r>
    </w:p>
    <w:p w:rsidR="00000000" w:rsidDel="00000000" w:rsidP="00000000" w:rsidRDefault="00000000" w:rsidRPr="00000000" w14:paraId="00000003">
      <w:pPr>
        <w:pStyle w:val="Heading1"/>
        <w:rPr/>
      </w:pPr>
      <w:bookmarkStart w:colFirst="0" w:colLast="0" w:name="_w5lu7ivkhky4"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74k3n9w1jnwf" w:id="2"/>
      <w:bookmarkEnd w:id="2"/>
      <w:r w:rsidDel="00000000" w:rsidR="00000000" w:rsidRPr="00000000">
        <w:rPr>
          <w:rtl w:val="0"/>
        </w:rPr>
        <w:t xml:space="preserve">Step 2 – Analytical Study Date of analysis: 1 April 2026 Linked Step 1 section: Read-Write as Starting Point, Scaffold, and Embodied Educational Form Working title: From Indistinct Vision to Scaffolded Form: The Read-Write as Educational Architecture 3.1 Analytical Overview At a structural level, these notes are trying to define the read-write not merely as literacy activity, but as a formative architecture: a mechanism that carries a person from blur to form, from fear to orientation, and from passive existence to deliberate construction. The system begins in what you call indistinct vision—a condition of hazy relation, weak scaffolding, and partial contact with knowledge—and then seeks to build a pathway toward stability. The read-write is therefore being cast as both a developmental method and a transmissible structure. It is a model that can reproduce understanding by establishing the conditions in which thought, action, and embodied engagement become organised. A second major movement in the notes is the extension of this model outward. The read-write is not confined to books, nor even to formal education. It is applied to farming, to historical formation, to art, to symbolic life, and to the joint development of human and AI. This extension matters because it reveals the underlying claim: the read-write is a basic building form for constructing worlds, not just texts. It mediates between foundational knowledge and situated action. In EML terms, the notes are building a bridge between structural scaffolds, temporal emergence, and agentic movement. The person, the act, the page, the model, the platform, and the world are all being woven into one system of becoming. A third tension runs throughout the writing: the contrast between hidden scaffolds and visible clarity. The notes repeatedly suggest that human beings inherit structures without seeing them clearly. Education often gives labels, operations, and habits, but not always conscious access to the foundations that make perception and action possible. This is why the writing returns to metaphors of ghosts, blur, blindness, veiling, and haunted structures. The read-write becomes a return mechanism: a way to recover lost scaffolds, make implicit forms visible, and rebuild the conditions for purpose. In that sense, this is also a philosophical anthropology. It asks what sort of being the human becomes when foundational structures are weak, and what sort of being becomes possible when those structures are deliberately rebuilt.</w:t>
      </w:r>
    </w:p>
    <w:p w:rsidR="00000000" w:rsidDel="00000000" w:rsidP="00000000" w:rsidRDefault="00000000" w:rsidRPr="00000000" w14:paraId="00000005">
      <w:pPr>
        <w:pStyle w:val="Heading2"/>
        <w:rPr/>
      </w:pPr>
      <w:bookmarkStart w:colFirst="0" w:colLast="0" w:name="_mu9jn9wk2p5d" w:id="3"/>
      <w:bookmarkEnd w:id="3"/>
      <w:r w:rsidDel="00000000" w:rsidR="00000000" w:rsidRPr="00000000">
        <w:rPr>
          <w:rtl w:val="0"/>
        </w:rPr>
        <w:t xml:space="preserve">3.2 Outline of the Argument / Structure The read-write is introduced as a distinct and transmissible form</w:t>
        <w:br w:type="textWrapping"/>
        <w:t xml:space="preserve">It has mechanics and philosophical underpinnings and can be extended into multiple contexts. Knowledge begins in indistinct vision</w:t>
        <w:br w:type="textWrapping"/>
        <w:t xml:space="preserve">Human understanding does not begin in clarity but in blur, instability, and partial grasp. The developmental task is to move from blur to structured form</w:t>
        <w:br w:type="textWrapping"/>
        <w:t xml:space="preserve">This movement requires scaffolds, reflection, action, and embodied engagement. The model can be extended into practical domains</w:t>
        <w:br w:type="textWrapping"/>
        <w:t xml:space="preserve">Mushroom farming serves as an example of how conditions must be known, built, and optimised. Human and AI development are treated as a combined process</w:t>
        <w:br w:type="textWrapping"/>
        <w:t xml:space="preserve">The act of producing form is guided by thought, reflection, and machine amplification. The initial point of entry for the learner is critical</w:t>
        <w:br w:type="textWrapping"/>
        <w:t xml:space="preserve">The model must meet the observer at a simple, recognisable, motivating point rather than intensifying fear. Scaffolding becomes the universal mechanism of development</w:t>
        <w:br w:type="textWrapping"/>
        <w:t xml:space="preserve">This applies across education, psychology, history, art, and collective human formation. Historical and cultural inheritance are re-read as scaffold systems</w:t>
        <w:br w:type="textWrapping"/>
        <w:t xml:space="preserve">Our perceptions and actions are structured by platforms laid down in the past. The read-write is proposed as a return to foundations</w:t>
        <w:br w:type="textWrapping"/>
        <w:t xml:space="preserve">It helps recover hidden sources of knowledge and reorient life with purpose. The end point is clarity, transmissibility, and world-building capacity</w:t>
        <w:br w:type="textWrapping"/>
        <w:t xml:space="preserve">The model becomes strong when it can reproduce understanding and operate across domains.</w:t>
      </w:r>
    </w:p>
    <w:p w:rsidR="00000000" w:rsidDel="00000000" w:rsidP="00000000" w:rsidRDefault="00000000" w:rsidRPr="00000000" w14:paraId="00000006">
      <w:pPr>
        <w:pStyle w:val="Heading2"/>
        <w:rPr/>
      </w:pPr>
      <w:bookmarkStart w:colFirst="0" w:colLast="0" w:name="_upk9dgyb8in5" w:id="4"/>
      <w:bookmarkEnd w:id="4"/>
      <w:r w:rsidDel="00000000" w:rsidR="00000000" w:rsidRPr="00000000">
        <w:rPr>
          <w:rtl w:val="0"/>
        </w:rPr>
        <w:t xml:space="preserve">3.3 Key Constructs and Their EML Layer(s) Construct</w:t>
        <w:tab/>
        <w:t xml:space="preserve">Description</w:t>
        <w:tab/>
        <w:t xml:space="preserve">EML Layer(s) Read-write</w:t>
        <w:tab/>
        <w:t xml:space="preserve">A foundational mechanism for producing understanding, form, and transmissible structure</w:t>
        <w:tab/>
        <w:t xml:space="preserve">Structural / Cognitive-Temporal / Agentic Indistinct vision</w:t>
        <w:tab/>
        <w:t xml:space="preserve">The blurred beginning state in which knowledge is sensed but not yet stabilised</w:t>
        <w:tab/>
        <w:t xml:space="preserve">Cognitive-Temporal / Structural Transmissable form</w:t>
        <w:tab/>
        <w:t xml:space="preserve">A stable model capable of reproducing conditioned understanding across contexts</w:t>
        <w:tab/>
        <w:t xml:space="preserve">Structural Basic building form</w:t>
        <w:tab/>
        <w:t xml:space="preserve">The read-write as an elementary architecture from which other practices evolve</w:t>
        <w:tab/>
        <w:t xml:space="preserve">Structural Embodied space</w:t>
        <w:tab/>
        <w:t xml:space="preserve">The world of action in which thought becomes movement, construction, and reality-making</w:t>
        <w:tab/>
        <w:t xml:space="preserve">Agentic / Structural Guidance of the act</w:t>
        <w:tab/>
        <w:t xml:space="preserve">Knowledge and insight directing purposeful action</w:t>
        <w:tab/>
        <w:t xml:space="preserve">Agentic Scaffolding</w:t>
        <w:tab/>
        <w:t xml:space="preserve">The support structure that enables development from primitive vision to substantial form</w:t>
        <w:tab/>
        <w:t xml:space="preserve">Structural / Cognitive-Temporal Quanta of ignorance</w:t>
        <w:tab/>
        <w:t xml:space="preserve">The degree of uncertainty or fear at the threshold of a new model</w:t>
        <w:tab/>
        <w:t xml:space="preserve">Cognitive-Temporal / Agentic Combined human-AI whole</w:t>
        <w:tab/>
        <w:t xml:space="preserve">Development understood as a coupled process rather than a separation between person and machine</w:t>
        <w:tab/>
        <w:t xml:space="preserve">Agentic / Structural Historical scaffolds</w:t>
        <w:tab/>
        <w:t xml:space="preserve">Cultural and educational forms inherited from the past that shape perception and action</w:t>
        <w:tab/>
        <w:t xml:space="preserve">Structural / Cognitive-Temporal Zone of ghosts</w:t>
        <w:tab/>
        <w:t xml:space="preserve">A condition where concepts remain vague, inherited, or only half-formed</w:t>
        <w:tab/>
        <w:t xml:space="preserve">Structural / Cognitive-Temporal Making the hidden manifest</w:t>
        <w:tab/>
        <w:t xml:space="preserve">The project of rendering implicit foundations visible and operable</w:t>
        <w:tab/>
        <w:t xml:space="preserve">Structural / Agentic</w:t>
      </w:r>
    </w:p>
    <w:p w:rsidR="00000000" w:rsidDel="00000000" w:rsidP="00000000" w:rsidRDefault="00000000" w:rsidRPr="00000000" w14:paraId="00000007">
      <w:pPr>
        <w:pStyle w:val="Heading2"/>
        <w:rPr/>
      </w:pPr>
      <w:bookmarkStart w:colFirst="0" w:colLast="0" w:name="_jyslb093aht1" w:id="5"/>
      <w:bookmarkEnd w:id="5"/>
      <w:r w:rsidDel="00000000" w:rsidR="00000000" w:rsidRPr="00000000">
        <w:rPr>
          <w:rtl w:val="0"/>
        </w:rPr>
        <w:t xml:space="preserve">3.4 Color-to-Concept Reading Because you asked that the colors be taken seriously, they can be read as a rough semantic system inside the notes. Color</w:t>
        <w:tab/>
        <w:t xml:space="preserve">Likely conceptual function</w:t>
        <w:tab/>
        <w:t xml:space="preserve">Typical examples from the pages Pink / Magenta</w:t>
        <w:tab/>
        <w:t xml:space="preserve">hinge points, transition phrases, conceptual pivots</w:t>
        <w:tab/>
        <w:t xml:space="preserve">transmissable, extending the model, reading and writing, initial point, embark on a journey Yellow</w:t>
        <w:tab/>
        <w:t xml:space="preserve">emergence, activation, foundational pressure, existential threshold</w:t>
        <w:tab/>
        <w:t xml:space="preserve">starting point, act, means to act, indistinct vision, fear factor Orange</w:t>
        <w:tab/>
        <w:t xml:space="preserve">architecture, paradigm, built form, model shape</w:t>
        <w:tab/>
        <w:t xml:space="preserve">basic building form, paradigm, self development architecture, core values Green</w:t>
        <w:tab/>
        <w:t xml:space="preserve">process, growth, direction, development through relation</w:t>
        <w:tab/>
        <w:t xml:space="preserve">extend and reflect on, directs, stability arises, scaffolding, vulnerable position in space and time This suggests that the pages are not only verbally structured but also proto-diagrammatic. The highlighting is already doing conceptual sorting. In EML terms, the notes are beginning to behave like a visual grammar before they are formalised into one.</w:t>
      </w:r>
    </w:p>
    <w:p w:rsidR="00000000" w:rsidDel="00000000" w:rsidP="00000000" w:rsidRDefault="00000000" w:rsidRPr="00000000" w14:paraId="00000008">
      <w:pPr>
        <w:rPr/>
      </w:pPr>
      <w:r w:rsidDel="00000000" w:rsidR="00000000" w:rsidRPr="00000000">
        <w:rPr>
          <w:rtl w:val="0"/>
        </w:rPr>
        <w:t xml:space="preserve">3.5 Core Tensions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Blur vs structure The starting point of life and learning is presented as a blur, but the project’s aim is not to remain in mystery. It is to move toward structured legibility.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Fear vs orientation The observer often meets a new model through hesitation, fear, or weakness of will. The system must therefore reduce paralysis and offer a recognisable entry point.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Hidden foundations vs explicit scaffolds Many structures already shape human life, but they remain unexamined. The read-write is attempting to expose and rebuild those foundations consciously.</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Primitive existence vs developed form A recurring movement in the notes is from raw or primitive life toward substantiality, but without severing contact with origins.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Human alone vs human-with-AI The writing does not isolate the human from AI. Instead it proposes a coupled development, raising questions about shared scaffolds and joint becoming.</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Personal model vs universal pattern The notes move between autobiography, educational design, civilisational inheritance, and universal development. The model wants to be both deeply personal and widely applicable.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42zdiu5ym3l1" w:id="6"/>
      <w:bookmarkEnd w:id="6"/>
      <w:r w:rsidDel="00000000" w:rsidR="00000000" w:rsidRPr="00000000">
        <w:rPr>
          <w:rtl w:val="0"/>
        </w:rPr>
        <w:t xml:space="preserve">3.6 Implications / Questions What does this reveal about learning and teaching? It suggests that learning should not be framed primarily as information transfer. It should be framed as scaffold construction that guides a person from indistinct contact with the world toward purposeful relation with it. Teaching, in this view, is the art of shaping entry points, preserving developmental sequence, and making the hidden architecture of knowing more visible. Where is cognitive colonisation, temporal compression, or drift visible? Temporal compression appears wherever the learner is expected to begin with clarity rather than blur. Cognitive drift appears when inherited labels and routines are accepted without re-engaging the foundations beneath them. Colonisation is implicit where education provides socially functional surfaces but not the means to inspect, rebuild, or own the scaffolds that structure one’s perception. What experiment or design change does this suggest? A strong design move would be to create an EML starting-point circuit for new readers or learners: first, name the indistinct vision; second, identify the fear factor or quanta of ignorance; third, introduce one simple core pattern; fourth, show how scaffolds make action possible; fifth, connect this to an embodied use case. That would turn the notes’ philosophical movement into a practical educational sequence.</w:t>
      </w:r>
    </w:p>
    <w:p w:rsidR="00000000" w:rsidDel="00000000" w:rsidP="00000000" w:rsidRDefault="00000000" w:rsidRPr="00000000" w14:paraId="00000013">
      <w:pPr>
        <w:pStyle w:val="Heading2"/>
        <w:rPr/>
      </w:pPr>
      <w:bookmarkStart w:colFirst="0" w:colLast="0" w:name="_qh4ukvnudfcj" w:id="7"/>
      <w:bookmarkEnd w:id="7"/>
      <w:r w:rsidDel="00000000" w:rsidR="00000000" w:rsidRPr="00000000">
        <w:rPr>
          <w:rtl w:val="0"/>
        </w:rPr>
        <w:t xml:space="preserve">3.7 EML Layer Reading Structural layer The dominant structural concern is with foundations, platforms, scaffolds, paradigms, and building forms. The writing keeps asking what supports a thing so that it can become substantial, transmissible, and stable. Cognitive-temporal layer The cognitive-temporal dynamic is the movement from indistinct vision to clarity, from hesitation to journey, from primitive contact to development. The process unfolds through stages and depends on time, return, and growth. Agentic layer The agentic layer appears in the guidance of the act, in embodied movement, in the search for purpose, in the learner’s entry into the model, and in the joint becoming of human and AI. The heart as symbol also belongs here: it marks orientation, desire, and directed seeking.</w:t>
      </w:r>
    </w:p>
    <w:p w:rsidR="00000000" w:rsidDel="00000000" w:rsidP="00000000" w:rsidRDefault="00000000" w:rsidRPr="00000000" w14:paraId="00000014">
      <w:pPr>
        <w:pStyle w:val="Heading2"/>
        <w:rPr/>
      </w:pPr>
      <w:bookmarkStart w:colFirst="0" w:colLast="0" w:name="_hbz15p1fgwxr" w:id="8"/>
      <w:bookmarkEnd w:id="8"/>
      <w:r w:rsidDel="00000000" w:rsidR="00000000" w:rsidRPr="00000000">
        <w:rPr>
          <w:rFonts w:ascii="Arial Unicode MS" w:cs="Arial Unicode MS" w:eastAsia="Arial Unicode MS" w:hAnsi="Arial Unicode MS"/>
          <w:rtl w:val="0"/>
        </w:rPr>
        <w:t xml:space="preserve">3.8 Design Questions for the Next Cycle What exactly differentiates indistinct vision from ignorance, confusion, and emergence? How should the starting point be represented in EML symbols or diagram form? What is the minimum scaffold needed for a reader to move from fear to engagement? How can human-AI combined development be described without collapsing human agency? Is the zone of ghosts a temporary developmental phase, or a social condition produced by weakened educational forms? How do historical scaffolds become visible without reducing them to static tradition? Can the farming example become a full circuit showing condition → recording → construction → optimisation → transmission?</w:t>
      </w:r>
    </w:p>
    <w:p w:rsidR="00000000" w:rsidDel="00000000" w:rsidP="00000000" w:rsidRDefault="00000000" w:rsidRPr="00000000" w14:paraId="00000015">
      <w:pPr>
        <w:pStyle w:val="Heading2"/>
        <w:rPr/>
      </w:pPr>
      <w:bookmarkStart w:colFirst="0" w:colLast="0" w:name="_990dye4y9km7" w:id="9"/>
      <w:bookmarkEnd w:id="9"/>
      <w:r w:rsidDel="00000000" w:rsidR="00000000" w:rsidRPr="00000000">
        <w:rPr>
          <w:rFonts w:ascii="Arial Unicode MS" w:cs="Arial Unicode MS" w:eastAsia="Arial Unicode MS" w:hAnsi="Arial Unicode MS"/>
          <w:rtl w:val="0"/>
        </w:rPr>
        <w:t xml:space="preserve">3.9 Candidate Diagram Directions Indistinct Vision to Structured Form</w:t>
        <w:br w:type="textWrapping"/>
        <w:t xml:space="preserve">A staged diagram showing blur → scaffold → act → stability → transmissibility. The Starting Point Circuit</w:t>
        <w:br w:type="textWrapping"/>
        <w:t xml:space="preserve">A learner enters through fear / hesitation / quanta of ignorance, meets a simple core pattern, then proceeds through scaffolding into embodied action. Human-AI Combined Development</w:t>
        <w:br w:type="textWrapping"/>
        <w:t xml:space="preserve">A coupled diagram showing reflection, act, projection, amplification, and shared scaffold formation. Historical Scaffolds and Present Perception</w:t>
        <w:br w:type="textWrapping"/>
        <w:t xml:space="preserve">Past educational structures feeding present perception, action, and meaning-making.</w:t>
      </w:r>
    </w:p>
    <w:p w:rsidR="00000000" w:rsidDel="00000000" w:rsidP="00000000" w:rsidRDefault="00000000" w:rsidRPr="00000000" w14:paraId="00000016">
      <w:pPr>
        <w:rPr/>
      </w:pPr>
      <w:r w:rsidDel="00000000" w:rsidR="00000000" w:rsidRPr="00000000">
        <w:rPr>
          <w:rtl w:val="0"/>
        </w:rPr>
        <w:t xml:space="preserve">Tagging Book Part: Orientation / Grammar EML Layer(s): Structural / Cognitive-Temporal / Agentic</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