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xlqgpbbw5baf" w:id="0"/>
      <w:bookmarkEnd w:id="0"/>
      <w:r w:rsidDel="00000000" w:rsidR="00000000" w:rsidRPr="00000000">
        <w:rPr>
          <w:rtl w:val="0"/>
        </w:rPr>
        <w:t xml:space="preserve">source_file: 29-april-26-chatgpt-emo.txt original_proposed_location: 03-Working/Step-3-Essays/2026-04-01-read-write-indistinct-vision-scaffolded-form.md extraction_date: 2026-04-30 project_area: 02-Reading-Writing-Model</w:t>
      </w:r>
    </w:p>
    <w:p w:rsidR="00000000" w:rsidDel="00000000" w:rsidP="00000000" w:rsidRDefault="00000000" w:rsidRPr="00000000" w14:paraId="00000003">
      <w:pPr>
        <w:pStyle w:val="Heading1"/>
        <w:rPr/>
      </w:pPr>
      <w:bookmarkStart w:colFirst="0" w:colLast="0" w:name="_8fu1tbzg67ug" w:id="1"/>
      <w:bookmarkEnd w:id="1"/>
      <w:r w:rsidDel="00000000" w:rsidR="00000000" w:rsidRPr="00000000">
        <w:rPr>
          <w:rtl w:val="0"/>
        </w:rPr>
        <w:t xml:space="preserve">Step 3 – Academic Essay</w:t>
      </w:r>
    </w:p>
    <w:p w:rsidR="00000000" w:rsidDel="00000000" w:rsidP="00000000" w:rsidRDefault="00000000" w:rsidRPr="00000000" w14:paraId="00000004">
      <w:pPr>
        <w:pStyle w:val="Heading2"/>
        <w:rPr/>
      </w:pPr>
      <w:bookmarkStart w:colFirst="0" w:colLast="0" w:name="_rp72njs7hyir" w:id="2"/>
      <w:bookmarkEnd w:id="2"/>
      <w:r w:rsidDel="00000000" w:rsidR="00000000" w:rsidRPr="00000000">
        <w:rPr>
          <w:rtl w:val="0"/>
        </w:rPr>
        <w:t xml:space="preserve">Step 3 – Academic Essay Date of essay: 2 April 2026 Working title: From Indistinct Vision to Scaffolded Form: Read-Write as Educational Architecture in an Age of Human–AI Development Linked Step 2 section: From Indistinct Vision to Scaffolded Form: The Read-Write as Educational Architecture 4.1 Abstract This essay develops the handwritten notes into a broader claim: the read-write is not merely a literacy act but a formative architecture through which human beings move from indistinct vision toward structured action. The notes suggest that learning begins not in clarity but in blur, hesitation, and partial relation, and that education must therefore be judged by the scaffolds it builds for movement through that condition. Read-write is presented here as a transmissible form, a basic building structure that can extend into multiple domains while retaining its underlying mechanics. The essay also advances the thought that human and AI development now meet within a shared process of projection, reflection, and revision, though this coupling must remain grounded in human formation rather than machine substitution. In EML terms, the argument moves across the structural, cognitive-temporal, and agentic layers together, which is consistent with the project’s core definition of EML as a model that makes learning visible, traceable, and revisable through relationships rather than isolated facts.   The essay chiefly feeds Orientation and Grammar, while opening a bridge toward Futures through the question of joint human-AI becoming.</w:t>
      </w:r>
    </w:p>
    <w:p w:rsidR="00000000" w:rsidDel="00000000" w:rsidP="00000000" w:rsidRDefault="00000000" w:rsidRPr="00000000" w14:paraId="00000005">
      <w:pPr>
        <w:rPr/>
      </w:pPr>
      <w:r w:rsidDel="00000000" w:rsidR="00000000" w:rsidRPr="00000000">
        <w:rPr>
          <w:rtl w:val="0"/>
        </w:rPr>
        <w:t xml:space="preserve">4.2 Essay Body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Indistinct Vision as the True Beginning A major strength of these notes is that they refuse the false image of learning as immediate clarity. They begin instead with indistinct vision: a condition in which something is sensed before it is properly grasped, where the learner stands in partial contact with a form not yet made substantial. This is an important philosophical move. It treats obscurity not as error alone, but as the first lawful condition of emergence. What is at stake here is the right description of beginnings. Much of education acts as though the learner ought to arrive already organised, already oriented, already able to move. But your notes insist that the real starting point is blurred. It is marked by hesitation, fear, and what you call the quanta of ignorance. This phrase deserves preservation because it names something exact: ignorance is not simply absence, but a lived degree of uncertainty that conditions whether one can act. This beginning state should not be romanticised. A blurred starting point can become paralysis if no scaffold appears. Yet it must also not be denied, because denying it produces shallow pedagogies that mistake surface compliance for true formation. The task of education, then, is not merely to transmit content. It is to build the conditions under which a learner can move from blur into graspable relation. In EML terms, this is a movement across time and structure. The learner begins in a cognitive-temporal condition of uncertainty and must be supported by structural forms that allow return, recognition, and differentiation. This matches the project’s existing commitment to learning as an iterative cycle rather than a single act of reception.</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Read-Write as a Basic Building Form The notes do not present read-write as a narrow school skill. They present it as a basic building form. This is a decisive enlargement. Read-write becomes a mechanism by which the world is projected, reflected upon, stabilised, and made transmissible. In this sense, the read-write is not simply about text on a page. It is an architecture of formation. One writes in order to project, to place something into form. One reads in order to re-enter, inspect, revise, and carry that form forward. When the cycle stabilises sufficiently, it becomes transmissible: it can move beyond private intuition into a structure that others can inhabit, test, and develop. This is why your notes repeatedly lean toward application. Mushroom farming appears not as a random analogy but as proof that the model wants to travel. The point is that any real practice requires conditions, recording, interaction, and optimisation. A thing grows because a space has been prepared for it. That same logic underlies the educational act. The read-write is therefore a way of constructing the conditions of emergence, not merely documenting results after the fact. This resonates strongly with the existing EML system, where writing is treated as system memory and where the weekly cycle turns fragments into structured, reusable outputs.   The architecture already assumes that thought becomes durable through staged reformulation, asset extraction, and return. Your present notes deepen that claim by placing this entire movement inside the more primordial question of how a form becomes substantial at all.</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Scaffolding, Embodied Space, and the Guidance of the Act A second major insight in the notes is that knowledge is inseparable from action in embodied space. The act is not abstract. It is guided. It is directed. It involves thought, reflection, movement, and construction. The arms and legs appear in the notes not by accident, but to insist that cognition is never merely internal; it becomes real by entering the world of movement and making. This is where the concept of scaffolding takes on its full weight. A scaffold is not just instructional support in the everyday educational sense. It is the structure that allows a blurry relation to become buildable. It creates a stable enough environment for a thing to take form. Without it, the learner remains in a kind of ghostly zone: sensing, perhaps even speaking, but not yet truly constructing. The image of the world as haunted or blurred is powerful here. It implies that many people live among inherited forms they do not fully see. They have labels, routines, and fragments of knowledge, but lack contact with the foundations that make those forms meaningful. Scaffolding, then, is what returns one to the hidden conditions of knowledge. It restores relation to sources, principles, and supporting structures. This argument aligns closely with the project’s established emphasis on structural literacy and temporal engineering. The weekly template itself functions as a scaffold: it indexes raw materials, thickens them through stages, and maps them to book parts and EML layers.   More broadly, the project already defines pedagogy as a shift from delivery to navigation, with the educator as cartographer and the learner as model-builder.  Your present notes give that formulation deeper existential depth. They show why navigation matters: because the learner begins not on a clear road, but in mist.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The Starting Point Must Be Simple and Driving One of the most practical claims in the handwriting is also one of the most important: the initial meeting with the model must be simple and driving the reader. This is a design principle hiding inside philosophical prose. If the starting point is too abstract, too grand, or too obscure, it intensifies the learner’s fear. The model then reproduces the very indistinctness it is meant to resolve. But if the starting point reflects a recognisable core pattern, then the learner can begin to move. The model becomes invitational rather than crushing. This matters profoundly for the EML book. The book cannot merely describe complexity. It must stage entry. It must present a form that the reader can recognise before fully understanding it. That is why your insistence on a simple beginning is not a concession to simplification. It is the ethical form of scaffolding. It acknowledges the vulnerability of the observer and provides an opening through which growth can occur. There is already support for this in the project’s book vision. The book is intended to be visual-first, calm, precise, iterative, with recurring diagrams that gain resolution over time.   That design philosophy matches the notes closely. A recurring diagram is a way of meeting the reader again and again at a clearer level. It respects emergence. It does not demand finality too early.</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Human Development and AI Development as a Combined Whole The notes move toward a bold and difficult claim: that human development and AI development are unfolding as an inseparable whole. This is one of the places where the essay must extend carefully. The strongest reading is not that human and AI are the same. Nor is it that AI should replace the human work of formation. Rather, the notes suggest that we now inhabit an educational situation in which the scaffolds of thinking, acting, projecting, and revising increasingly involve both human and machine. The relation is coupled. The development is joint in practice, even if unequal in kind. This is already part of the project’s wider horizon. The book’s end goals state clearly that the read-write-AI loop should externalise structure while training the human through disciplined re-entry, and that the purpose is to train the human, not the machine.  The notes from 1 April deepen that by asking what sort of foundational structure must exist if this coupled development is to be meaningful rather than flattening. Here the danger is obvious. AI can amplify projection without ensuring understanding. It can produce outputs that appear coherent while bypassing the learner’s return to foundations. That is why your notes are right to keep coming back to scaffolds, foundations, and the guidance of the act. If AI enters the system without those supports, it accelerates blur instead of resolving it. But if it is joined to a disciplined read-write structure, then it may help recover neglected scaffolds, restore visibility to hidden relations, and thicken the developmental process. This would place the work at the threshold between Grammar and Futures: grammar, because the coupled operations need definition; futures, because the larger ecology of human-AI development is now becoming unavoidable.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History, Culture, and the Recovery of Foundations The later pages broaden the argument from individual learning to civilisational inheritance. Our perceptions, the notes say, are structured on platforms laid down in the past. Parents, educators, traditions, symbols, and artistic forms all contribute scaffolds through which reality is made available to us. This is a crucial enlargement because it prevents the model from collapsing into private introspection. The problem of indistinct vision is not only personal. It is historical. We inherit structures without necessarily seeing them. We move within educational systems whose foundations may be half-forgotten, narrowed, or misrecognised. The result is that we can become socially functional while remaining conceptually under-formed. The notes answer this condition with a return: not a nostalgic retreat, but a deliberate recovery of core principles, basic building forms, and foundational knowledge. This return is what allows reorientation. It is why the pages invoke both art and symbolic life. Gauguin, Picasso, the tree of knowledge, the heart, the blind man, the zone of ghosts: these are all attempts to find figures adequate to the drama of re-entering foundations. This has direct relevance to the book’s Orientation section, which already includes inheritance, formative action, ethical drift, self-location, cognitive colonisation, and time.  Your handwritten notes offer strong material for that part because they provide not just theoretical claims but a language of encounter. They describe what it feels like to stand inside a world whose scaffolds have become invisible, and why a new grammar is needed to navigate it.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Making the Hidden Manifest Perhaps the most beautiful and central phrase in these notes is the claim that the work is to make the hidden manifest. This phrase should remain intact. It names both the educational and the philosophical task. The hidden is not simply secret content. It is the supporting structure beneath perception, judgment, and action. It is the scaffold beneath the finished appearance of knowledge. It is the path by which a thing becomes substantial rather than vaguely present. To make this hidden dimension manifest is therefore to render learning inspectable, revisable, and buildable. This phrase sits very naturally beside the project’s core EML definition: learning becomes visible, traceable, and revisable when relations are modelled explicitly.  It also aligns with the weekly architecture, where raw fragments are not discarded but turned into structured surfaces for return. The hidden becomes manifest not through revelation alone, but through process: inscription, rereading, analysis, revision, extraction, and re-entry. The handwritten pages add one more important note. This unveiling is not merely technical. It is ethical and existential. The heart appears as symbol because the movement toward clarity is not only cognitive. It is also a search, a bearing, a choice of direction. The learner does not just gain information. The learner becomes differently oriented in space and time.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qhi3266vhei2" w:id="3"/>
      <w:bookmarkEnd w:id="3"/>
      <w:r w:rsidDel="00000000" w:rsidR="00000000" w:rsidRPr="00000000">
        <w:rPr>
          <w:rtl w:val="0"/>
        </w:rPr>
        <w:t xml:space="preserve">4.3 Explicit Links to EML Which EML concepts are clarified or extended? Read-write cycle is extended from a literacy or reflective method into a foundational architecture of formation. Scaffolding is expanded from instructional support into ontological and historical support: the structure that lets a thing become substantial. Cognitive-temporal emergence is deepened through the concept of indistinct vision, which names the early phase of contact before clear differentiation. Agentic coupling is extended through the relation between human development and AI development, while still keeping human formation primary. Learning as visible, traceable, revisable is given a more existential basis through the phrase make the hidden manifest.</w:t>
        <w:br w:type="textWrapping"/>
        <w:t xml:space="preserve">Which book part(s) might this feed? Primary: Orientation / Grammar Secondary: Futures</w:t>
        <w:br w:type="textWrapping"/>
        <w:t xml:space="preserve">This distribution fits the project’s four-part spine and the requirement that Step outputs be tagged to book parts and EML layers.</w:t>
        <w:br w:type="textWrapping"/>
        <w:t xml:space="preserve">Tagging Book Part: Orientation / Grammar / Futures EML Layer(s): Structural / Cognitive-Temporal / Agentic</w:t>
      </w:r>
    </w:p>
    <w:p w:rsidR="00000000" w:rsidDel="00000000" w:rsidP="00000000" w:rsidRDefault="00000000" w:rsidRPr="00000000" w14:paraId="00000011">
      <w:pPr>
        <w:pStyle w:val="Heading2"/>
        <w:rPr/>
      </w:pPr>
      <w:bookmarkStart w:colFirst="0" w:colLast="0" w:name="_255b0stp841h" w:id="4"/>
      <w:bookmarkEnd w:id="4"/>
      <w:r w:rsidDel="00000000" w:rsidR="00000000" w:rsidRPr="00000000">
        <w:rPr>
          <w:rFonts w:ascii="Arial Unicode MS" w:cs="Arial Unicode MS" w:eastAsia="Arial Unicode MS" w:hAnsi="Arial Unicode MS"/>
          <w:rtl w:val="0"/>
        </w:rPr>
        <w:t xml:space="preserve">4.4 Directions for Next Handwritten Cycle New questions to take back into the notebook What exactly differentiates indistinct vision from ignorance, confusion, and wonder? What is the minimum scaffold that allows a person to move from hesitation to purposeful action? In what sense is the read-write a basic building form, and what are its irreducible components? How should human-AI co-development be described so that the human remains the site of training and responsibility? What are the historical scaffolds that modern education has obscured, weakened, or mistaken for finished clarity? What does it mean, in practical terms, to make the hidden manifest in a classroom, a book, or a design system? Diagrams suggested by this essay Indistinct Vision → Scaffold → Act → Stability → Transmission</w:t>
        <w:br w:type="textWrapping"/>
        <w:t xml:space="preserve">A core developmental path showing the movement from blur to transmissible form. The Starting Point Circuit</w:t>
        <w:br w:type="textWrapping"/>
        <w:t xml:space="preserve">Fear / quanta of ignorance / simple recognisable pattern / reader movement / scaffold thickening. Embodied Space and Guidance of the Act</w:t>
        <w:br w:type="textWrapping"/>
        <w:t xml:space="preserve">Thought, reflection, bodily action, and world-construction arranged as one loop. Historical Scaffolds and Present Perception</w:t>
        <w:br w:type="textWrapping"/>
        <w:t xml:space="preserve">Past educational and cultural forms feeding present seeing, naming, and acting. Human–AI Coupled Read-Write Development</w:t>
        <w:br w:type="textWrapping"/>
        <w:t xml:space="preserve">Handwriting, AI projection, human rereading, scaffold recovery, revised action. This would directly connect to the project’s stated read-write-AI loop.</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