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nyt2nt5cwm98" w:id="0"/>
      <w:bookmarkEnd w:id="0"/>
      <w:r w:rsidDel="00000000" w:rsidR="00000000" w:rsidRPr="00000000">
        <w:rPr>
          <w:rtl w:val="0"/>
        </w:rPr>
        <w:t xml:space="preserve">source_file: 29-april-26-chatgpt-emo.txt original_proposed_location: 03-Working/Step-1-Polished-Notes/2026-04-23-satellite-model-staged-knowledge-space-colour-legibility.md extraction_date: 2026-04-30 project_area: 05-Knowledge-Space-Semiotics</w:t>
      </w:r>
    </w:p>
    <w:p w:rsidR="00000000" w:rsidDel="00000000" w:rsidP="00000000" w:rsidRDefault="00000000" w:rsidRPr="00000000" w14:paraId="00000003">
      <w:pPr>
        <w:pStyle w:val="Heading1"/>
        <w:rPr/>
      </w:pPr>
      <w:bookmarkStart w:colFirst="0" w:colLast="0" w:name="_p2253orwj8s8" w:id="1"/>
      <w:bookmarkEnd w:id="1"/>
      <w:r w:rsidDel="00000000" w:rsidR="00000000" w:rsidRPr="00000000">
        <w:rPr>
          <w:rtl w:val="0"/>
        </w:rPr>
        <w:t xml:space="preserve">Step 1 · Polished Notes</w:t>
      </w:r>
    </w:p>
    <w:p w:rsidR="00000000" w:rsidDel="00000000" w:rsidP="00000000" w:rsidRDefault="00000000" w:rsidRPr="00000000" w14:paraId="00000004">
      <w:pPr>
        <w:rPr/>
      </w:pPr>
      <w:r w:rsidDel="00000000" w:rsidR="00000000" w:rsidRPr="00000000">
        <w:rPr>
          <w:rtl w:val="0"/>
        </w:rPr>
        <w:t xml:space="preserve">Step 1 · Polished Notes Date of original handwriting: 23 April 2026 Title: Satellite Model, Staged Knowledge Space, and Colour-Legibility Source: Two handwritten notebook pages dated Thursday 23 April 2026 Related themes: satellite model, staged space, graphical representation, read-write model, legibility, scaffolding, object of study, observer, semiotics, colour grammar Summary These notes develop the satellite model as a way of making a knowledge space visible, readable, and stageable. The central claim is that graphical and colour-marked representation does not merely decorate thought; it increases legibility and enables the construction of an internal representation that can then be written, read, and further developed. The notes also connect this model to a read-write cycle in which representation, observation, staging, and projection feed one another in a recursive loop. A second major thread introduces the observer, the object of study, and the staged field of observation, showing how the satellites act as reflective instruments that frame and mediate what can be seen. The colour highlights appear to function as a grammar of emphasis: blue tends toward representation, signalling, and visible structure; green tends toward growth, emergence, formation, and staging; yellow tends toward connective emphasis, key claims, and transitional relations. This fits the project’s wider visual grammar, where selective colour is used to stabilise structure, emergence, and growth across recurring diagrams and readings.</w:t>
        <w:br w:type="textWrapping"/>
        <w:t xml:space="preserve">Polished Body At the top of the page, three immediate additions are named. First, image generation is to be added into the steps. Second, in the satellite model there is mediation across time and space. Third, S1 and S2 are described as reflectors of knowledge. The satellite idea is presented as a model whose purpose is to provide a source of visualisation, that is, a clear picture. This clear legibility gives the ability to represent the knowledge space in a descriptive and simple way. The coloured emphasis suggests that legibility, ability to represent, and prosthesis belong together: the representation functions as an enabling extension, something added that strengthens the capacity to picture, organise, and work with the field of knowledge. The note then suggests that this is probably close to what Wittgenstein was describing in his references to pictures, language, and communication. Here the writing model is extended by graphical representation, which acts as an enhancement and as a learning tool. It strengthens internal representation and the ability to represent, write about, and develop the read-write model and educational modelling. In this formulation, the graphical layer is not outside understanding. It is one of the means by which understanding is produced. This production of the means to understanding is linked to method and tool. Writing becomes not just expression, but mechanism. The mechanism of writing informs projection, including the “steps” in the AI, and the reading of that projection in turn informs further writing. The notes therefore describe a cyclic, self-building feedback loop: writing produces representable form, representation sharpens reading, and reading feeds the next writing. A further movement in the notes returns to the previous page and to the entry from 22 April. There, two perspectives are said to cover similar and outer bounds. These bounds refer to the view, the framework, and the limits of what is being seen, studied, or interpreted. The technology of one satellite provides areas that fill the gaps of what the knowledge space represents or stages. Though this is still based on the presence of the perceiver, the observer, it allows that observer to model and read. Here reading is described as staging. A thing becomes something to be observed and studied because it is staged, placed into the field of observation. Figuratively, this is equated with placing it onto the handwritten page. In that act, the object enters the study-space as an object of attention. The notes then equate the satellites with the observer: the eye, the camera, the microphone. These are not simply passive instruments. They are staging devices. They set up the object to be studied and establish the medium or mechanism through which that object can be pictured. This includes the frame or reference point within the field of study, that is, within the bounds or context of the study, in the staged space. The next section explicitly names Staged. In staging, one considers the planning involved in setting up the elements of what will be read. This means knowing what will be placed into the field, stage, or context of the study. Deliberation is central here, because the act of staging requires deciding what to reference. The notes say that core elements are taken out and placed onto the stage. This is described as equivalent to a way of explaining the page with its handwriting and its anchor. The process broadens the study beyond a narrow focus on read-write specifics alone. As a result, two stagings become visible at once: a broader staging, linked to a wider study of perception, and a narrower staging, linked to read-write as a specific operation. Both are staged spaces. The second page begins with Highlighting and makes the role of colour far more explicit. The features of the topic are bounded and can become objects within the bounds of the page. The page provides a context, laid out with anchored points, which can later be expanded within its own structure. The highlights are said to offer other ways of reading. They bring emergent patterns into sight through labels and coloured combinations, and they make what comes forth more legible. This legibility is strongly linked with scaffolding. The support structures bring readability to the fore, producing what the note calls an emergent clarity. That clarity is laid to build upon. Accretion is then named as a steady strengthening of these small quantities of pull toward distinct constructs. From this, there emerges the sense of a clear alphabet: a legible and distinct representation of what is structurally there. In the notes, each construct is not isolated. It is a construct in combination and sequence. It unfolds, yet also distinctly represents. It becomes a true representation of structure in temporality. Each construct, in its combination or pattern, becomes a quality shaped through scaffoldings, almost like a kaleidoscope of patterns, merged complexes, fashioned and evolving. Through this, qualitative change occurs. A new picture is produced. Wittgenstein returns here as an important reference. His pictures and language are invoked to suggest that what one person presents or maybe represents becomes communicable to another. Communication is described as a transferring of signalling. In this, the common boundary or intersection present in human culture produces meaning, language, and culture itself. The note then turns toward semiotics. The structure and form of these scaffolds are described as an integral feature embedded in the structure-forms of knowledge representation arranged over time. These are linked to child development and understood as a combination of signals. Semiotics appears here as the name for this signalling order through which the page becomes readable and developmental at once. The perceiver or observer is then identified as the agent of interpreting. The observer, linked back to the satellites in the previous writing, is understood as part of a network of reflectors that combine to create a more complete picture. Acting in concert, these reflectors set out the particular object, set the data, and allow its construct to enter a larger network. This is compared to language as combination, culture, and a merging of interpreters that together explain a reality. From this point the notes ask what observable representation means. It appears to mean a representation that makes possible, to some degree, the construction of a complete picture of the field of observation, that is, the knowledge space. This field is what is staged and represented in order to construct the picture of reality. The final section turns to the object of study, the reference point, and what to reference. There is a structure here that only becomes perceivable through staging. Its representation is placed into the field of observation, the staged area in which it is analysed, defined, and acted upon within the cognitive act of study and reading, especially in the read-write process. What makes the page significant is that the representation acquires some degree of clarity within the cognitive-temporal space, especially when it is first conceived or still in development. This legible construct flows into forms that bring out other forms. In combination, the structures and explanatory mechanisms, the scaffolds, accrete in more substantial ways. The stage is built up and then re-represents itself repeatedly. Reading informs writing, and writing feeds projected forms to be read. Thus the page is not static. It is a cycle or mechanism. Colour Reading and Concept Extension The colour pattern appears to be doing conceptual work rather than simply marking importance. Blue seems to emphasise visible representation and communicative signalling. Phrases such as graphical representation, observer, support structures, signalling, and field of observation are often marked this way. Blue therefore appears to function as the colour of exposed structure: what can be seen, framed, transmitted, or diagrammed. Green appears where emergence, formation, staging, and active construction are at stake. It frequently marks phrases such as internal representation, means to understanding, provides areas to fill the gaps, object of study, setting up the elements, topic are bounded, comes forth, foundation, clear alphabet, structure forms, putting forth its particular object, observable representation, field of observation, and representing itself. Green therefore seems to mark growth into form: the moments where something begins to take shape, come forth, or become operable. Yellow often sits on connective or load-bearing phrases: the passages that link one part of the argument to another or intensify the claim. It often seems to mark transitional logic, emphasis, or the thread that binds structure and emergence together. In that sense, yellow may be functioning as a colour of relation, bridge, and interpretive illumination. Taken together, the page seems to enact a three-part visual grammar: blue = representational structure green = emergence and formation yellow = connective emphasis and conceptual transition This aligns with the project’s established colour logic, where selective colour is already treated as part of the visual grammar of the book and its diagrams.</w:t>
        <w:br w:type="textWrapping"/>
        <w:t xml:space="preserve">Emerging Terms / Phrases reflectors of knowledge mediation across time and space staged space field of observation observable representation clear alphabet emergent clarity object of study signalling as communication re-representing itself Tagging Book Part: Grammar 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