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clbepnmanffx" w:id="0"/>
      <w:bookmarkEnd w:id="0"/>
      <w:r w:rsidDel="00000000" w:rsidR="00000000" w:rsidRPr="00000000">
        <w:rPr>
          <w:rtl w:val="0"/>
        </w:rPr>
        <w:t xml:space="preserve">source_file: 29-april-26-chatgpt-emo.txt original_proposed_location: 03-Working/Step-2-Analytical-Study/2026-04-05-marker-stability-internal-grammar.md extraction_date: 2026-04-30 project_area: 05-Knowledge-Space-Semiotics</w:t>
      </w:r>
    </w:p>
    <w:p w:rsidR="00000000" w:rsidDel="00000000" w:rsidP="00000000" w:rsidRDefault="00000000" w:rsidRPr="00000000" w14:paraId="00000003">
      <w:pPr>
        <w:pStyle w:val="Heading1"/>
        <w:rPr/>
      </w:pPr>
      <w:bookmarkStart w:colFirst="0" w:colLast="0" w:name="_5wtdke618dxn" w:id="1"/>
      <w:bookmarkEnd w:id="1"/>
      <w:r w:rsidDel="00000000" w:rsidR="00000000" w:rsidRPr="00000000">
        <w:rPr>
          <w:rtl w:val="0"/>
        </w:rPr>
        <w:t xml:space="preserve">Yes. This is the hinge.</w:t>
      </w:r>
    </w:p>
    <w:p w:rsidR="00000000" w:rsidDel="00000000" w:rsidP="00000000" w:rsidRDefault="00000000" w:rsidRPr="00000000" w14:paraId="00000004">
      <w:pPr>
        <w:rPr/>
      </w:pPr>
      <w:r w:rsidDel="00000000" w:rsidR="00000000" w:rsidRPr="00000000">
        <w:rPr>
          <w:rtl w:val="0"/>
        </w:rPr>
        <w:t xml:space="preserve">Yes. This is the hinge. What you are describing is the moment when a mark stops being merely seen and starts being used. A marker is unstable when, each time it appears, the reader must stop and ask: What is this doing here? An unstable marker remains local, episodic, and effortful. It may still be expressive, but it has not yet entered the working grammar of the page. A marker is stable when its role has become sufficiently regular that the reader can move through it almost automatically. Not blindly, and not mechanically, but with trust. The mark has acquired enough constancy that it no longer calls attention mainly to itself. Instead, it begins to guide attention toward the relation, transition, boundary, or uncertainty it is there to indicate. That is why “trusted operator” is the right phrase. The mark performs an operation in thought. It helps the page do something. It organizes movement. It shapes interpretation. It quietly instructs the reader how to proceed. The crucial point is that stability is not the same as rigidity. A stable mark does not need to mean exactly the same thing in a dead, mechanical way every time. Rather, its family resemblance of function must persist. An arrow may indicate development, progression, or movement between states; those are variations, but they belong to one recognizable operational field. A box may indicate boundary, containment, or framed unit; again, these are local variations of one underlying role. Stability lives at the level of core function, not at the level of total sameness. That is why your examples work so well: a colour used for structure an arrow used for movement or development a box used for containment or boundary a dotted line used for uncertainty or provisional relation Each of these is not merely a visual form. Each is a recurrent instruction. Each tells the reader how to interpret what is being encountered. Once this happens repeatedly, the marker enters what you call the reader’s internal grammar. This is important. The grammar is no longer only on the page. It has been partially installed in the reader. The reader has learned the code well enough that decoding recedes into the background. The mark is no longer a puzzle. It becomes a pathway. This has several consequences. First, it reduces cognitive friction. The reader does not have to consciously re-learn the system at every encounter. Attention is freed for higher-order work: relation, pattern, development, comparison. Second, it increases speed without sacrificing depth. Because the marker is already trusted, the reader can move more fluently across the page while still preserving nuance. Third, it makes return productive. When the reader comes back to the page later, the markers are still there as anchors. They preserve orientation across time. This is why they become signatures. A signature is not only an identity mark. It is a mark that allows recognition, continuity, and re-entry. That final point matters most. A signature marker does two things at once: it preserves the identity of a function it preserves the orientation of the reader So the marker does not simply “mean” something. It helps the reader find their place again in the movement of thought. This is why signatures matter in a temporal system. On first reading, a marker may help guide attention. On second and third reading, it does more: it helps reconstruct the prior path. It says, in effect, this is still structure, this is still movement, this is still uncertainty, this is still a boundary. Through that constancy, the page becomes re-navigable. So the deeper formulation would be: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rtl w:val="0"/>
        </w:rPr>
        <w:t xml:space="preserve">Stability is the condition under which a marker becomes cognitively installed as a reusable operator, allowing identity, function, and orientation to persist across repeated encounters. And that is exactly why markers become signatures: not because they are repeated mechanically, but because they become recognizable carriers of function across return. Book Part: Grammar</w:t>
        <w:br w:type="textWrapping"/>
        <w:t xml:space="preserve">EML Layer(s): Structural / Cognitive-Temporal / Agentic</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