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rlnnrkgk85wy" w:id="0"/>
      <w:bookmarkEnd w:id="0"/>
      <w:r w:rsidDel="00000000" w:rsidR="00000000" w:rsidRPr="00000000">
        <w:rPr>
          <w:rtl w:val="0"/>
        </w:rPr>
        <w:t xml:space="preserve">source_file: 29-april-26-chatgpt-emo.txt original_proposed_location: 03-Working/Step-2-Analytical-Study/2026-04-23-satellite-mediation-staging-legible-knowledge-space.md extraction_date: 2026-04-30 project_area: 05-Knowledge-Space-Semiotics</w:t>
      </w:r>
    </w:p>
    <w:p w:rsidR="00000000" w:rsidDel="00000000" w:rsidP="00000000" w:rsidRDefault="00000000" w:rsidRPr="00000000" w14:paraId="00000003">
      <w:pPr>
        <w:pStyle w:val="Heading1"/>
        <w:rPr/>
      </w:pPr>
      <w:bookmarkStart w:colFirst="0" w:colLast="0" w:name="_irbou1wge58p" w:id="1"/>
      <w:bookmarkEnd w:id="1"/>
      <w:r w:rsidDel="00000000" w:rsidR="00000000" w:rsidRPr="00000000">
        <w:rPr>
          <w:rtl w:val="0"/>
        </w:rPr>
        <w:t xml:space="preserve">Step 2 · Analytical Study</w:t>
      </w:r>
    </w:p>
    <w:p w:rsidR="00000000" w:rsidDel="00000000" w:rsidP="00000000" w:rsidRDefault="00000000" w:rsidRPr="00000000" w14:paraId="00000004">
      <w:pPr>
        <w:pStyle w:val="Heading2"/>
        <w:rPr/>
      </w:pPr>
      <w:bookmarkStart w:colFirst="0" w:colLast="0" w:name="_wzmrvqmbhjzt" w:id="2"/>
      <w:bookmarkEnd w:id="2"/>
      <w:r w:rsidDel="00000000" w:rsidR="00000000" w:rsidRPr="00000000">
        <w:rPr>
          <w:rtl w:val="0"/>
        </w:rPr>
        <w:t xml:space="preserve">Step 2 · Analytical Study Date of analysis: 23 April 2026 Linked Step 1 section: Satellite Model, Staged Knowledge Space, and Colour-Legibility Working title: Satellite Mediation, Staging, and the Legible Construction of Knowledge Space 3.1 Analytical Overview This note is really about how a knowledge space becomes seeable. It proposes that thought does not become workable only by being written down in words. It becomes workable when it is staged, graphically mediated, colour-marked, and placed into a field of observation. The satellite model is therefore not merely a metaphor for perspective. It is a representational mechanism that allows a knowledge space to appear as an object that can be observed, studied, framed, and recursively developed. This fits the project’s wider commitment to making learning visible, traceable, and revisable through representation rather than treating thought as an invisible interior event.</w:t>
        <w:br w:type="textWrapping"/>
        <w:t xml:space="preserve">A second major movement in the note is the shift from representation as description to representation as production. The graphical layer is not added after understanding. It helps produce “the means to understanding.” That is a decisive claim. It means the page, the diagram, the highlight, the observer, and the object of study form a coupled system. In this system, writing informs projection, projection informs reading, and reading feeds further writing. The page becomes a recursive mechanism rather than a static record. This resonates strongly with the project’s read-write cycle, its treatment of revision as scaffold thickening, and its view that meaning emerges through return and staged re-entry.</w:t>
        <w:br w:type="textWrapping"/>
        <w:t xml:space="preserve">A third structural feature of the note is the distinction between broad staging and narrow staging. Broad staging concerns perception, framing, and the wider field in which an object can appear. Narrow staging concerns the read-write operation itself as a specific mechanism. The important point is that both are staged spaces. This means the note is not only about a page. It is about a hierarchy of representational environments: page, field, object, observer, and medium. In EML terms, the note is pressing toward a multi-scale representational grammar in which cognition is not simply internal but distributed across marks, frames, agents, and time. That aligns closely with the project’s larger emphasis on nested scales, from inscription to page to week to book.</w:t>
      </w:r>
    </w:p>
    <w:p w:rsidR="00000000" w:rsidDel="00000000" w:rsidP="00000000" w:rsidRDefault="00000000" w:rsidRPr="00000000" w14:paraId="00000005">
      <w:pPr>
        <w:pStyle w:val="Heading2"/>
        <w:rPr/>
      </w:pPr>
      <w:bookmarkStart w:colFirst="0" w:colLast="0" w:name="_8p0mc5ti9oo8" w:id="3"/>
      <w:bookmarkEnd w:id="3"/>
      <w:r w:rsidDel="00000000" w:rsidR="00000000" w:rsidRPr="00000000">
        <w:rPr>
          <w:rtl w:val="0"/>
        </w:rPr>
        <w:t xml:space="preserve">3.2 Outline of the Argument / Structure The satellite model is introduced as a representational aid.</w:t>
        <w:br w:type="textWrapping"/>
        <w:t xml:space="preserve">Its initial function is to provide a visual source, a clear picture, and a legible way of describing the knowledge space. Legibility is linked to graphical enhancement and internal representation.</w:t>
        <w:br w:type="textWrapping"/>
        <w:t xml:space="preserve">The diagrammatic layer acts as a prosthetic extension that strengthens the ability to represent and think. Representation is treated as productive, not merely reflective.</w:t>
        <w:br w:type="textWrapping"/>
        <w:t xml:space="preserve">The note claims that graphical and written mechanisms help produce the means to understanding. A recursive read-write-projection loop is described.</w:t>
        <w:br w:type="textWrapping"/>
        <w:t xml:space="preserve">Writing informs projection, projection becomes readable, and reading then informs further writing. The observer and object of study are introduced through staging.</w:t>
        <w:br w:type="textWrapping"/>
        <w:t xml:space="preserve">The satellites function like the eye, camera, or microphone, setting up the object within a field of observation. The page is recast as a staged field rather than a passive surface.</w:t>
        <w:br w:type="textWrapping"/>
        <w:t xml:space="preserve">The object becomes perceptible by being placed into a framed space of study and reference. Colour highlighting is treated as an alternate reading system.</w:t>
        <w:br w:type="textWrapping"/>
        <w:t xml:space="preserve">Colour creates pathways through the page, revealing emergent patterns, support structures, and legible constructs. Scaffolding and accretion produce emergent clarity.</w:t>
        <w:br w:type="textWrapping"/>
        <w:t xml:space="preserve">Small marked units gather into distinct constructs and then into a more coherent picture. Semiotics and signalling explain how meaning becomes communicable.</w:t>
        <w:br w:type="textWrapping"/>
        <w:t xml:space="preserve">The page is understood as a structure of signals that mediates between interpreters across time. The entire system is cyclical.</w:t>
        <w:br w:type="textWrapping"/>
        <w:t xml:space="preserve">The staged construct re-represents itself; reading feeds writing and writing feeds future readable form.</w:t>
      </w:r>
    </w:p>
    <w:p w:rsidR="00000000" w:rsidDel="00000000" w:rsidP="00000000" w:rsidRDefault="00000000" w:rsidRPr="00000000" w14:paraId="00000006">
      <w:pPr>
        <w:pStyle w:val="Heading2"/>
        <w:rPr/>
      </w:pPr>
      <w:bookmarkStart w:colFirst="0" w:colLast="0" w:name="_fldmpjpxc5n" w:id="4"/>
      <w:bookmarkEnd w:id="4"/>
      <w:r w:rsidDel="00000000" w:rsidR="00000000" w:rsidRPr="00000000">
        <w:rPr>
          <w:rtl w:val="0"/>
        </w:rPr>
        <w:t xml:space="preserve">3.3 Key Constructs and Their EML Layer(s) Construct</w:t>
        <w:tab/>
        <w:t xml:space="preserve">Description</w:t>
        <w:tab/>
        <w:t xml:space="preserve">EML Layer(s) Satellite model</w:t>
        <w:tab/>
        <w:t xml:space="preserve">A mediating representational system that offers perspective, reflection, and framing across the knowledge space</w:t>
        <w:tab/>
        <w:t xml:space="preserve">Structural / Agentic Legibility</w:t>
        <w:tab/>
        <w:t xml:space="preserve">The condition in which a knowledge space becomes clear enough to be observed, interpreted, and worked with</w:t>
        <w:tab/>
        <w:t xml:space="preserve">Structural Graphical representation</w:t>
        <w:tab/>
        <w:t xml:space="preserve">A visual-prosthetic layer that strengthens representation and contributes to understanding</w:t>
        <w:tab/>
        <w:t xml:space="preserve">Structural / Cognitive-Temporal Internal representation</w:t>
        <w:tab/>
        <w:t xml:space="preserve">The inwardly formed model that is strengthened through external inscription and visualisation</w:t>
        <w:tab/>
        <w:t xml:space="preserve">Cognitive-Temporal / Agentic Means to understanding</w:t>
        <w:tab/>
        <w:t xml:space="preserve">The mechanisms, methods, and tools by which understanding is produced rather than merely declared</w:t>
        <w:tab/>
        <w:t xml:space="preserve">Structural / Cognitive-Temporal Read-write-projection loop</w:t>
        <w:tab/>
        <w:t xml:space="preserve">Recursive cycle where writing, AI projection, reading, and further writing inform each other</w:t>
        <w:tab/>
        <w:t xml:space="preserve">Cognitive-Temporal / Agentic Field of observation</w:t>
        <w:tab/>
        <w:t xml:space="preserve">The staged context in which an object can be made visible and studied</w:t>
        <w:tab/>
        <w:t xml:space="preserve">Structural Object of study</w:t>
        <w:tab/>
        <w:t xml:space="preserve">The thing brought into visibility by staging and framing</w:t>
        <w:tab/>
        <w:t xml:space="preserve">Structural Observer / perceiver</w:t>
        <w:tab/>
        <w:t xml:space="preserve">The interpretive agent who reads and models the field, sometimes distributed across satellites or instruments</w:t>
        <w:tab/>
        <w:t xml:space="preserve">Agentic Staging</w:t>
        <w:tab/>
        <w:t xml:space="preserve">Deliberate arrangement of elements within a context so they can be referenced, perceived, and analysed</w:t>
        <w:tab/>
        <w:t xml:space="preserve">Structural / Agentic Scaffolding</w:t>
        <w:tab/>
        <w:t xml:space="preserve">Support structures that bring emergent clarity and allow accretion into more stable constructs</w:t>
        <w:tab/>
        <w:t xml:space="preserve">Structural / Cognitive-Temporal Emergent clarity</w:t>
        <w:tab/>
        <w:t xml:space="preserve">Clarity that develops through accretion, support, and repeated organisation rather than instant comprehension</w:t>
        <w:tab/>
        <w:t xml:space="preserve">Cognitive-Temporal Clear alphabet</w:t>
        <w:tab/>
        <w:t xml:space="preserve">A distinct representational vocabulary or symbolic order that makes constructs legible and combinable</w:t>
        <w:tab/>
        <w:t xml:space="preserve">Structural Signalling / semiotics</w:t>
        <w:tab/>
        <w:t xml:space="preserve">The communicative layer through which marks, colours, and structures carry interpretable meaning</w:t>
        <w:tab/>
        <w:t xml:space="preserve">Structural / Agentic Re-representation</w:t>
        <w:tab/>
        <w:t xml:space="preserve">The repeated reappearance of the construct in refined forms across the cycle of reading and writing</w:t>
        <w:tab/>
        <w:t xml:space="preserve">Cognitive-Temporal / Structural</w:t>
      </w:r>
    </w:p>
    <w:p w:rsidR="00000000" w:rsidDel="00000000" w:rsidP="00000000" w:rsidRDefault="00000000" w:rsidRPr="00000000" w14:paraId="00000007">
      <w:pPr>
        <w:pStyle w:val="Heading2"/>
        <w:rPr/>
      </w:pPr>
      <w:bookmarkStart w:colFirst="0" w:colLast="0" w:name="_d6gvowddx1fv" w:id="5"/>
      <w:bookmarkEnd w:id="5"/>
      <w:r w:rsidDel="00000000" w:rsidR="00000000" w:rsidRPr="00000000">
        <w:rPr>
          <w:rtl w:val="0"/>
        </w:rPr>
        <w:t xml:space="preserve">3.4 Analytical Reading of the Colour Logic The highlighted colours appear to be carrying structural roles rather than decorative emphasis alone. This matters because the broader project already treats selective colour as a restrained but functional grammar within the book’s visual language.</w:t>
        <w:br w:type="textWrapping"/>
        <w:t xml:space="preserve">Blue as exposed structure and transmission Blue often marks phrases tied to visibility, representation, signalling, the observer, support structures, and the field of observation. In the logic of the page, blue seems to identify what becomes externally available: the representational surface, the communicative channel, the diagrammatic or frame-bearing layer. Blue therefore appears to function as the colour of structural exposure. Green as emergence, staging, and formation Green is frequently attached to phrases about the topic being bounded, filling gaps, means to understanding, object of study, setting up the elements, foundation, clear alphabet, observable representation, and representing itself. Green seems to signal coming-into-form. It marks not simply what already exists, but what is being formed, staged, or brought forth. Yellow as connective emphasis and interpretive thread Yellow often marks phrases that intensify a claim or join one conceptual movement to another: legibility, prosthesis, references, describing, informing, broadening, temporal accretion, and distinct representation. Yellow seems to function as an illuminating bridge, drawing attention to the line of relation between structure and emergence. Combined effect Together the three colours enact a small visual grammar: Blue: representational structure, transmission, field, visibility Green: staging, formation, emergence, productive development Yellow: transition, emphasis, conceptual linkage, interpretive illumination This is highly consistent with the project’s already articulated visual language, where blue is associated with structure, yellow with emergence, and green with growth, even if on this page the functions are slightly redistributed and more intertwined in practice. That slight redistribution may itself be important: the page is showing that colours do not only label concepts, they can also register shifts in function as thought develops.</w:t>
      </w:r>
    </w:p>
    <w:p w:rsidR="00000000" w:rsidDel="00000000" w:rsidP="00000000" w:rsidRDefault="00000000" w:rsidRPr="00000000" w14:paraId="00000008">
      <w:pPr>
        <w:pStyle w:val="Heading2"/>
        <w:rPr/>
      </w:pPr>
      <w:bookmarkStart w:colFirst="0" w:colLast="0" w:name="_sm8vzfsk2lil" w:id="6"/>
      <w:bookmarkEnd w:id="6"/>
      <w:r w:rsidDel="00000000" w:rsidR="00000000" w:rsidRPr="00000000">
        <w:rPr>
          <w:rtl w:val="0"/>
        </w:rPr>
        <w:t xml:space="preserve">3.5 Core Claims A knowledge space becomes workable when it is staged into legibility.</w:t>
        <w:br w:type="textWrapping"/>
        <w:t xml:space="preserve">The note argues that visibility is not incidental but foundational. Graphical representation is a cognitive mechanism, not an accessory.</w:t>
        <w:br w:type="textWrapping"/>
        <w:t xml:space="preserve">It helps produce the very conditions of understanding. The satellite model distributes observation across reflective instruments.</w:t>
        <w:br w:type="textWrapping"/>
        <w:t xml:space="preserve">Seeing is mediated through positioning, framing, and perspective. The page is a field of observation, not just a writing surface.</w:t>
        <w:br w:type="textWrapping"/>
        <w:t xml:space="preserve">What is written becomes an object of study by entering a staged context. Scaffolding produces emergent clarity through accretion.</w:t>
        <w:br w:type="textWrapping"/>
        <w:t xml:space="preserve">Distinct constructs are built gradually, not delivered whole. Colour functions as a grammar of navigation.</w:t>
        <w:br w:type="textWrapping"/>
        <w:t xml:space="preserve">Highlighting creates alternate reading paths and reveals structural roles. Meaning is semiotic and collective.</w:t>
        <w:br w:type="textWrapping"/>
        <w:t xml:space="preserve">Representation becomes communicable through signalling structures that can be shared across interpreters. Reading and writing form a cyclical mechanism of re-representation.</w:t>
        <w:br w:type="textWrapping"/>
        <w:t xml:space="preserve">The page becomes a recursive engine of development rather than a static archive.</w:t>
      </w:r>
    </w:p>
    <w:p w:rsidR="00000000" w:rsidDel="00000000" w:rsidP="00000000" w:rsidRDefault="00000000" w:rsidRPr="00000000" w14:paraId="00000009">
      <w:pPr>
        <w:pStyle w:val="Heading2"/>
        <w:rPr/>
      </w:pPr>
      <w:bookmarkStart w:colFirst="0" w:colLast="0" w:name="_lw5m3pol15jx" w:id="7"/>
      <w:bookmarkEnd w:id="7"/>
      <w:r w:rsidDel="00000000" w:rsidR="00000000" w:rsidRPr="00000000">
        <w:rPr>
          <w:rtl w:val="0"/>
        </w:rPr>
        <w:t xml:space="preserve">3.6 Implications / Questions What does this analysis reveal about how learning or teaching is scaffolded? It suggests that learning is scaffolded not only by verbal explanation but by the design of the representational field itself. The way a page is staged, what is highlighted, how objects are framed, and how observers are positioned all influence whether understanding can emerge. This extends EML’s broader claim that pedagogy shifts from delivery toward navigation and model-building. Where is cognitive-temporal depth visible? It is visible in the note’s insistence on cycles, accretion, self-building feedback, and re-representation. Understanding is not portrayed as immediate recognition. It is portrayed as something that appears through staged return, support, and repeated passage between writing and reading. This strongly aligns with the project’s emphasis on revision, weekend ingestion, and staged return as developmental conditions rather than afterthoughts.</w:t>
        <w:br w:type="textWrapping"/>
        <w:t xml:space="preserve">Where is the agentic layer most active? The agentic layer appears in the observer, the act of interpreting, the deliberate setup of the stage, and the possible integration of AI projection into the cycle. The note’s opening instruction to add image generation into the steps suggests that visual production may become an active agent within the system, not just an output channel. That would place image generation alongside handwriting, AI reading, and human re-reading as part of the mediating ecology. What experiment or design change does this suggest? A strong next move would be to formalise the page as a staged observation protocol. That could mean explicitly designing notebook pages or book spreads with three visible zones: Field zone — the wider context or broad staging Object zone — the selected construct or object of study Observer/interpretation zone — commentary, reference point, and reflective mediation Colour could then be used not merely for emphasis but to show whether a mark belongs to structure, emergence, or relation. Key design questions What exactly differentiates a field of observation from a knowledge space? Are the satellites perspectives, instruments, or distributed observer-positions? How does image generation alter the satellite model: does it become another reflector, another stage, or another field-maker? What is the difference between legibility and clarity in this system? How can a page visibly distinguish the broad staged space from the narrow read-write staged space without confusion? Can the “clear alphabet” be formalised into a recurring EML symbol set? What does a complete “observable representation” require before it becomes teachable or diagrammable?</w:t>
      </w:r>
    </w:p>
    <w:p w:rsidR="00000000" w:rsidDel="00000000" w:rsidP="00000000" w:rsidRDefault="00000000" w:rsidRPr="00000000" w14:paraId="0000000A">
      <w:pPr>
        <w:rPr/>
      </w:pPr>
      <w:r w:rsidDel="00000000" w:rsidR="00000000" w:rsidRPr="00000000">
        <w:rPr>
          <w:rtl w:val="0"/>
        </w:rPr>
        <w:t xml:space="preserve">3.7 Tensions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Observer vs constructed object The note sometimes treats the observer as the one who frames the object, and at other times treats the satellites themselves as observers. This tension is productive. It suggests the observer is partly human and partly distributed across instruments and representations.</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Representation vs reality The note moves close to a strong claim: that representation constructs the picture of reality. This is philosophically rich, but it requires care. The system seems less interested in denying reality than in showing that access to reality is always mediated through staged representational fields.</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Simplicity vs complexity The note wants a “simple” and “descriptive” representation, yet it is dealing with highly layered processes: observer, object, field, reference point, signal, scaffold, and recursive return. This suggests a design problem at the heart of EML: how to make complexity legible without flattening it.</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Stage as support vs stage as mechanism At times staging seems like a preparatory support. At other times it appears to be the central mechanism of knowledge production. This tension likely matters and may need a clearer distinction later.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3.8 Analytical Conclusion The note advances a major EML proposition: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ind w:left="600" w:right="600" w:firstLine="0"/>
        <w:rPr/>
      </w:pPr>
      <w:r w:rsidDel="00000000" w:rsidR="00000000" w:rsidRPr="00000000">
        <w:rPr>
          <w:b w:val="1"/>
          <w:bCs w:val="1"/>
          <w:rtl w:val="0"/>
        </w:rPr>
        <w:t xml:space="preserve">Knowledge does not become usable simply by being stated. It becomes usable by being staged into a legible field where observer, object, scaffold, and representation can enter into recursive relation.</w:t>
      </w:r>
      <w:r w:rsidDel="00000000" w:rsidR="00000000" w:rsidRPr="00000000">
        <w:rPr>
          <w:rtl w:val="0"/>
        </w:rPr>
        <w:t xml:space="preserve"> The satellite model is therefore doing several things at once. It is a perspective system, a reflective instrument set, a representational prosthesis, and a mediator across time and space. The page becomes not merely a container, but a staged observational environment in which knowledge can be bounded, highlighted, signalled, and recursively re-formed. Colour is part of this mechanism, operating as a local grammar that helps thought come forth as distinct construct, emergent pattern, and communicable form. In EML terms, this note is a strong contribution to Part II, because it pushes the grammar of representation beyond symbols alone and toward the design of legible observation-fields.</w:t>
        <w:br w:type="textWrapping"/>
        <w:t xml:space="preserve">Tagging Book Part: Grammar EML Layer(s): Structural / Cognitive-Temporal / Agentic</w:t>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