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39d01avqfmyw" w:id="0"/>
      <w:bookmarkEnd w:id="0"/>
      <w:r w:rsidDel="00000000" w:rsidR="00000000" w:rsidRPr="00000000">
        <w:rPr>
          <w:rtl w:val="0"/>
        </w:rPr>
        <w:t xml:space="preserve">source_file: 29-april-26-chatgpt-emo.txt original_proposed_location: 03-Working/Step-2-Analytical-Study/2026-04-27-28-semiotic-sequencing-developmental-circuit.md extraction_date: 2026-04-30 project_area: 05-Knowledge-Space-Semiotics</w:t>
      </w:r>
    </w:p>
    <w:p w:rsidR="00000000" w:rsidDel="00000000" w:rsidP="00000000" w:rsidRDefault="00000000" w:rsidRPr="00000000" w14:paraId="00000003">
      <w:pPr>
        <w:pStyle w:val="Heading1"/>
        <w:rPr/>
      </w:pPr>
      <w:bookmarkStart w:colFirst="0" w:colLast="0" w:name="_3bw60h5094cf" w:id="1"/>
      <w:bookmarkEnd w:id="1"/>
      <w:r w:rsidDel="00000000" w:rsidR="00000000" w:rsidRPr="00000000">
        <w:rPr>
          <w:rtl w:val="0"/>
        </w:rPr>
        <w:t xml:space="preserve">Step 2 — Analytical Study</w:t>
      </w:r>
    </w:p>
    <w:p w:rsidR="00000000" w:rsidDel="00000000" w:rsidP="00000000" w:rsidRDefault="00000000" w:rsidRPr="00000000" w14:paraId="00000004">
      <w:pPr>
        <w:pStyle w:val="Heading2"/>
        <w:rPr/>
      </w:pPr>
      <w:bookmarkStart w:colFirst="0" w:colLast="0" w:name="_1y2rizhy9te4" w:id="2"/>
      <w:bookmarkEnd w:id="2"/>
      <w:r w:rsidDel="00000000" w:rsidR="00000000" w:rsidRPr="00000000">
        <w:rPr>
          <w:rtl w:val="0"/>
        </w:rPr>
        <w:t xml:space="preserve">Step 2 — Analytical Study Date of analysis 28 April 2026 Linked Step 1 section “Semiotic Sequencing, Representation Quality, and the Read–Write Development Process” Working title Semiotic Sequencing as a Developmental Circuit</w:t>
      </w:r>
    </w:p>
    <w:p w:rsidR="00000000" w:rsidDel="00000000" w:rsidP="00000000" w:rsidRDefault="00000000" w:rsidRPr="00000000" w14:paraId="00000005">
      <w:pPr>
        <w:numPr>
          <w:ilvl w:val="0"/>
          <w:numId w:val="4"/>
        </w:numPr>
        <w:ind w:left="720" w:hanging="360"/>
      </w:pPr>
      <w:r w:rsidDel="00000000" w:rsidR="00000000" w:rsidRPr="00000000">
        <w:rPr>
          <w:rtl w:val="0"/>
        </w:rPr>
        <w:t xml:space="preserve">Analytical Overview These notes are about how thought becomes visible, usable, and developable through a sequence of representations. A single sign, diagram, phrase, node, arrow, or graph is not enough by itself. Each one carries a partial quality. When placed in sequence, the signs begin to compensate for one another’s limits and form a larger body of thought. The central movement is from isolated representation to developmental circuit. A node becomes more than a point. It becomes a staged moment, a scaffold, a dependency, a milestone, or a reflective checkpoint. A graph becomes more than a visual aid. It becomes a representation of understanding rising over time. This is where semiotic sequencing becomes important: meaning does not sit inside one symbol; it emerges through the ordered relation between symbols. At a deeper level, the notes are also about human agency inside AI-supported development. The danger named as auto-pilot mode is the danger of letting AI complete the process without human interpretation. Read–write study protects the human role by keeping the learner or designer in active relation with the signs, the process, and the product. The goal is not simply production. The goal is guided development toward a tangible product while preserving the human capacity to read, interpret, and shape the system.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Outline of the Argument / Structure</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Representation is historically and temporally situated The notes begin by placing the development process within a technological substrate and historical moment. Ideas are not born in empty space. They arise within a specific time, tool environment, and possibility field.</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Read–write study aligns human thought with technological development The IDE, prompt, agent, and product are linked through a read–write cycle. Communication with the agent defines the act and gives the body of thought a direction.</w:t>
      </w:r>
    </w:p>
    <w:p w:rsidR="00000000" w:rsidDel="00000000" w:rsidP="00000000" w:rsidRDefault="00000000" w:rsidRPr="00000000" w14:paraId="0000000C">
      <w:pPr>
        <w:numPr>
          <w:ilvl w:val="0"/>
          <w:numId w:val="4"/>
        </w:numPr>
        <w:ind w:left="720" w:hanging="360"/>
      </w:pPr>
      <w:r w:rsidDel="00000000" w:rsidR="00000000" w:rsidRPr="00000000">
        <w:rPr>
          <w:rFonts w:ascii="Arial Unicode MS" w:cs="Arial Unicode MS" w:eastAsia="Arial Unicode MS" w:hAnsi="Arial Unicode MS"/>
          <w:rtl w:val="0"/>
        </w:rPr>
        <w:t xml:space="preserve">A process unfolds through staged points The sequence A1 → A2 → A3 → A4 → A5 → goal/product shows development as a path of moments. Each point is a visible marker in the process, but may also contain latent or hidden aspects.</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Semiotic sequencing converts signs into a combined construct Symbols, arrows, lenses, graphs, and written phrases do not operate alone. They combine into a larger formation where each sign enriches the whole.</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Inner representation is shaped by the quality of the signs Each sign carries a perspective or quality. Together, they shape how the learner internally understands the project.</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Nodes function as scaffolds and dependencies Nodes on the graph are not neutral dots. They may be checkpoints, milestones, staged points, prerequisites, dependencies, or reflective moments.</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Auto-pilot mode threatens human agency AI can produce without the learner developing. Read–write study resists this by requiring interpretation, revision, and human participation.</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The product is a mature point, not a final end The product marks a conclusive point in the process, but development continues. The vision becomes reality, but the circuit remains open for further refinement.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Key Constructs Mapped to EML Layers Construct</w:t>
        <w:tab/>
        <w:t xml:space="preserve">Explanation</w:t>
        <w:tab/>
        <w:t xml:space="preserve">EML Layer(s) Semiotic sequencing</w:t>
        <w:tab/>
        <w:t xml:space="preserve">The ordered flow of signs, symbols, diagrams, and phrases where each representation feeds into the next.</w:t>
        <w:tab/>
        <w:t xml:space="preserve">Structural / Cognitive-Temporal Representation quality</w:t>
        <w:tab/>
        <w:t xml:space="preserve">The clarity, depth, and usefulness of a representation at a given moment in the process.</w:t>
        <w:tab/>
        <w:t xml:space="preserve">Structural / Cognitive-Temporal Inner representation</w:t>
        <w:tab/>
        <w:t xml:space="preserve">The learner’s internal model formed by reading the sequence and combination of signs.</w:t>
        <w:tab/>
        <w:t xml:space="preserve">Cognitive-Temporal / Agentic Body of thought</w:t>
        <w:tab/>
        <w:t xml:space="preserve">The combined pattern of ideas, signs, and representations that becomes a cradle or substrate for further development.</w:t>
        <w:tab/>
        <w:t xml:space="preserve">Structural Staged points</w:t>
        <w:tab/>
        <w:t xml:space="preserve">Significant moments in the unfolding process, such as A1, A2, nodes, milestones, or checkpoints.</w:t>
        <w:tab/>
        <w:t xml:space="preserve">Structural / Cognitive-Temporal Latent / hidden aspect</w:t>
        <w:tab/>
        <w:t xml:space="preserve">A not-yet-conscious dimension beneath a visible point that may later reinforce development.</w:t>
        <w:tab/>
        <w:t xml:space="preserve">Cognitive-Temporal Node as scaffold</w:t>
        <w:tab/>
        <w:t xml:space="preserve">A point that supports movement by marking dependencies, prerequisites, or reflective moments.</w:t>
        <w:tab/>
        <w:t xml:space="preserve">Structural / Cognitive-Temporal Technological substrate</w:t>
        <w:tab/>
        <w:t xml:space="preserve">The IDE, AI agent, prompt environment, and software context in which ideas become product.</w:t>
        <w:tab/>
        <w:t xml:space="preserve">Structural / Agentic Auto-pilot mode</w:t>
        <w:tab/>
        <w:t xml:space="preserve">The danger of AI doing the work without sufficient human input, interpretation, or developmental learning.</w:t>
        <w:tab/>
        <w:t xml:space="preserve">Agentic / Cognitive-Temporal Tangible product</w:t>
        <w:tab/>
        <w:t xml:space="preserve">The realised output toward which the sequence is oriented.</w:t>
        <w:tab/>
        <w:t xml:space="preserve">Structural / Agentic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Structural Reading A. The page treats signs as developmental instruments The notes do not treat signs as decoration. A sign is a working unit. It has a shape, a quality, and a role in the formation of understanding. A symbol may clarify what a sentence cannot.</w:t>
        <w:br w:type="textWrapping"/>
        <w:t xml:space="preserve">A graph may show movement that a word cannot.</w:t>
        <w:br w:type="textWrapping"/>
        <w:t xml:space="preserve">A node may stabilise a moment that would otherwise disappear.</w:t>
        <w:br w:type="textWrapping"/>
        <w:t xml:space="preserve">A dashed line may show time, direction, or dependency. This means the page is constructing a grammar of learning. It is asking how signs combine into an interpretable field.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r4mkaulnvs6a" w:id="3"/>
      <w:bookmarkEnd w:id="3"/>
      <w:r w:rsidDel="00000000" w:rsidR="00000000" w:rsidRPr="00000000">
        <w:rPr>
          <w:rtl w:val="0"/>
        </w:rPr>
        <w:t xml:space="preserve">B. Meaning emerges through combination, not isolation One of the strongest claims is that each sign is limited alone but strengthened in combination. This is important for EML because it prevents one-symbol thinking. A single arrow may show movement, but not depth.</w:t>
        <w:br w:type="textWrapping"/>
        <w:t xml:space="preserve">A node may show a point, but not its dependency.</w:t>
        <w:br w:type="textWrapping"/>
        <w:t xml:space="preserve">A graph may show rise, but not the hidden latent aspect.</w:t>
        <w:br w:type="textWrapping"/>
        <w:t xml:space="preserve">A written phrase may name a concept, but not its spatial relation. Together, these signs create a more complete representation quality. Their power lies in the circuit.</w:t>
      </w:r>
    </w:p>
    <w:p w:rsidR="00000000" w:rsidDel="00000000" w:rsidP="00000000" w:rsidRDefault="00000000" w:rsidRPr="00000000" w14:paraId="0000001D">
      <w:pPr>
        <w:pStyle w:val="Heading2"/>
        <w:rPr/>
      </w:pPr>
      <w:bookmarkStart w:colFirst="0" w:colLast="0" w:name="_8h7fadwcmcq" w:id="4"/>
      <w:bookmarkEnd w:id="4"/>
      <w:r w:rsidDel="00000000" w:rsidR="00000000" w:rsidRPr="00000000">
        <w:rPr>
          <w:rtl w:val="0"/>
        </w:rPr>
        <w:t xml:space="preserve">C. The body of thought is a scaffolded construct The notes repeatedly use phrases such as body of thought, cradle, substrate, foundational structure, and base. These terms show that thought is not treated as a floating idea. It needs a holding structure. The body of thought is the container and the generative ground. It gathers signs into a pattern, then allows that pattern to become the basis for development. This is close to the idea that a notebook page is not merely a record. It is a developmental environment.</w:t>
      </w:r>
    </w:p>
    <w:p w:rsidR="00000000" w:rsidDel="00000000" w:rsidP="00000000" w:rsidRDefault="00000000" w:rsidRPr="00000000" w14:paraId="0000001E">
      <w:pPr>
        <w:pStyle w:val="Heading2"/>
        <w:rPr/>
      </w:pPr>
      <w:bookmarkStart w:colFirst="0" w:colLast="0" w:name="_4ocfjjii9ob9" w:id="5"/>
      <w:bookmarkEnd w:id="5"/>
      <w:r w:rsidDel="00000000" w:rsidR="00000000" w:rsidRPr="00000000">
        <w:rPr>
          <w:rtl w:val="0"/>
        </w:rPr>
        <w:t xml:space="preserve">D. Nodes are moments of visibility in a larger temporal process The diagrams show A1, A2, A3, A4, A5 and later nodes on an ascending graph. These nodes are visible points, but they do not exhaust the process. Each point may include: what is visible now what is hidden or latent what has been prepared by earlier stages what is made possible for later stages This is why A2 matters. A2 is not just the second point. It is a moment in time where something shows up, while other aspects remain hidden or outside consciousness. The node is therefore both marker and threshold.</w:t>
      </w:r>
    </w:p>
    <w:p w:rsidR="00000000" w:rsidDel="00000000" w:rsidP="00000000" w:rsidRDefault="00000000" w:rsidRPr="00000000" w14:paraId="0000001F">
      <w:pPr>
        <w:pStyle w:val="Heading2"/>
        <w:rPr/>
      </w:pPr>
      <w:bookmarkStart w:colFirst="0" w:colLast="0" w:name="_yij0cbt9vmkn" w:id="6"/>
      <w:bookmarkEnd w:id="6"/>
      <w:r w:rsidDel="00000000" w:rsidR="00000000" w:rsidRPr="00000000">
        <w:rPr>
          <w:rtl w:val="0"/>
        </w:rPr>
        <w:t xml:space="preserve">E. Read–write protects development from AI auto-pilot The notes link the danger of AI auto-pilot to the question of whether read–write can translate into software development. The issue is not simply whether AI can code or produce. The deeper question is whether the human remains in the process as an interpreting agent. Read–write study slows down the machine process enough for the human to remain involved. It asks the learner to: read what is being formed write into the process interpret the signs clarify the prompt revise the direction recognise the product as part of development This makes read–write a safeguard against passive automation.</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Implications for EML</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EML needs a grammar of simple signs The notes strongly support the development of a minimal symbol set. Arrows, lenses, nodes, dashed lines, timelines, and ascending graphs are not casual marks. They are emerging as a grammar. The task is to stabilise what each sign does. For example: Sign</w:t>
        <w:tab/>
        <w:t xml:space="preserve">Possible Function Arrow</w:t>
        <w:tab/>
        <w:t xml:space="preserve">movement, direction, projection, relation Node</w:t>
        <w:tab/>
        <w:t xml:space="preserve">staged point, milestone, dependency, checkpoint Dashed line</w:t>
        <w:tab/>
        <w:t xml:space="preserve">time, latent relation, provisional pathway Lens</w:t>
        <w:tab/>
        <w:t xml:space="preserve">perception, interpretation, point of view Ascending graph</w:t>
        <w:tab/>
        <w:t xml:space="preserve">growth in understanding, project maturity Circle / target</w:t>
        <w:tab/>
        <w:t xml:space="preserve">goal, product, mature state Bracket</w:t>
        <w:tab/>
        <w:t xml:space="preserve">grouping, containment, interpretive frame The value of this grammar is that it lets a reader see learning as structured movement rather than static content.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Representation quality should become a formal EML term Representation quality is one of the strongest terms in the notes. It names the difference between a weak sign and a strong sign. A representation has high quality when it: clarifies relation stabilises attention supports return shows movement or dependency deepens inner representation helps the learner act more intelligently A representation has low quality when it: decorates without clarifying adds visual noise collapses multiple ideas into confusion hides the process it claims to show allows the learner to mistake appearance for understanding This term could become central to the Grammar section of the book.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Inner representation links semiotics to learning The notes move from external signs to internal understanding. This is crucial. The signs on the page are not the final aim. Their purpose is to shape the learner’s inner representation. The outer diagram trains the inner model. The student or teacher reads the signs until a new structure becomes available inside their own thinking. This supports a core EML claim: External representation is a training ground for internal representation.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The product should be understood as a mature state in a continuing process The notes distinguish between final production and continuing development. The product is a mature state, but it does not close the system. This matters because in software development, education, and writing, a product can be mistaken for an endpoint. EML reframes it as a realised form within an ongoing developmental circuit. The product is where vision becomes usable.</w:t>
        <w:br w:type="textWrapping"/>
        <w:t xml:space="preserve">It is not where thought stops.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Tensions and Design Questions Tension 1 — Sign clarity vs sign overload A rich semiotic field can support understanding, but too many signs can create confusion. EML needs enough symbols to show structure, but not so many that the reader must decode a private language. Design question:</w:t>
        <w:br w:type="textWrapping"/>
        <w:t xml:space="preserve">What is the smallest stable set of signs that can represent movement, dependency, emergence, perception, time, and product?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4s9gvr2x127t" w:id="7"/>
      <w:bookmarkEnd w:id="7"/>
      <w:r w:rsidDel="00000000" w:rsidR="00000000" w:rsidRPr="00000000">
        <w:rPr>
          <w:rtl w:val="0"/>
        </w:rPr>
        <w:t xml:space="preserve">Tension 2 — Product completion vs developmental continuity A project needs a tangible product, but the product should not be treated as the death of development. Design question:</w:t>
        <w:br w:type="textWrapping"/>
        <w:t xml:space="preserve">How can diagrams show “completion for use” without implying final closure?</w:t>
      </w:r>
    </w:p>
    <w:p w:rsidR="00000000" w:rsidDel="00000000" w:rsidP="00000000" w:rsidRDefault="00000000" w:rsidRPr="00000000" w14:paraId="00000035">
      <w:pPr>
        <w:pStyle w:val="Heading2"/>
        <w:rPr/>
      </w:pPr>
      <w:bookmarkStart w:colFirst="0" w:colLast="0" w:name="_s8scos3p25hp" w:id="8"/>
      <w:bookmarkEnd w:id="8"/>
      <w:r w:rsidDel="00000000" w:rsidR="00000000" w:rsidRPr="00000000">
        <w:rPr>
          <w:rtl w:val="0"/>
        </w:rPr>
        <w:t xml:space="preserve">Tension 3 — AI assistance vs human development AI can speed production, but speed may bypass the learner’s own development. Design question:</w:t>
        <w:br w:type="textWrapping"/>
        <w:t xml:space="preserve">What read–write checkpoints must exist in an AI-supported software workflow so that the human remains the interpreting agent?</w:t>
      </w:r>
    </w:p>
    <w:p w:rsidR="00000000" w:rsidDel="00000000" w:rsidP="00000000" w:rsidRDefault="00000000" w:rsidRPr="00000000" w14:paraId="00000036">
      <w:pPr>
        <w:pStyle w:val="Heading2"/>
        <w:rPr/>
      </w:pPr>
      <w:bookmarkStart w:colFirst="0" w:colLast="0" w:name="_rnrmw0r5id63" w:id="9"/>
      <w:bookmarkEnd w:id="9"/>
      <w:r w:rsidDel="00000000" w:rsidR="00000000" w:rsidRPr="00000000">
        <w:rPr>
          <w:rtl w:val="0"/>
        </w:rPr>
        <w:t xml:space="preserve">Tension 4 — Visible node vs hidden aspect A node marks what appears, but every node may contain latent aspects that are not yet conscious. Design question:</w:t>
        <w:br w:type="textWrapping"/>
        <w:t xml:space="preserve">How can a page show both the visible point and the hidden conditions that support it?</w:t>
      </w:r>
    </w:p>
    <w:p w:rsidR="00000000" w:rsidDel="00000000" w:rsidP="00000000" w:rsidRDefault="00000000" w:rsidRPr="00000000" w14:paraId="00000037">
      <w:pPr>
        <w:pStyle w:val="Heading2"/>
        <w:rPr/>
      </w:pPr>
      <w:bookmarkStart w:colFirst="0" w:colLast="0" w:name="_fdcxh3xqkji4" w:id="10"/>
      <w:bookmarkEnd w:id="10"/>
      <w:r w:rsidDel="00000000" w:rsidR="00000000" w:rsidRPr="00000000">
        <w:rPr>
          <w:rtl w:val="0"/>
        </w:rPr>
        <w:t xml:space="preserve">Tension 5 — Individual sign vs combined construct Each sign has a quality, but meaning emerges through combination. Design question:</w:t>
        <w:br w:type="textWrapping"/>
        <w:t xml:space="preserve">How can the book teach readers to read both the single sign and the whole circuit?</w:t>
      </w:r>
    </w:p>
    <w:p w:rsidR="00000000" w:rsidDel="00000000" w:rsidP="00000000" w:rsidRDefault="00000000" w:rsidRPr="00000000" w14:paraId="00000038">
      <w:pPr>
        <w:numPr>
          <w:ilvl w:val="0"/>
          <w:numId w:val="2"/>
        </w:numPr>
        <w:ind w:left="720" w:hanging="360"/>
      </w:pPr>
      <w:r w:rsidDel="00000000" w:rsidR="00000000" w:rsidRPr="00000000">
        <w:rPr>
          <w:rFonts w:ascii="Arial Unicode MS" w:cs="Arial Unicode MS" w:eastAsia="Arial Unicode MS" w:hAnsi="Arial Unicode MS"/>
          <w:rtl w:val="0"/>
        </w:rPr>
        <w:t xml:space="preserve">Suggested Diagram Candidates Diagram 1 — Semiotic Sequence into Inner Representation Signs / symbols → combined construct → inner representation → action / product This would show how external signs become internal understanding and then practical action. Diagram 2 — Node as Scaffold A node shown with three layers: visible point hidden / latent aspect dependency or prerequisite below it This would clarify that nodes are not merely dots. Diagram 3 — Read–Write Against Auto-Pilot Mode Two paths: AI auto-pilot: prompt → AI output → product read–write development: prompt → AI output → human reading → rewriting → interpretation → product This would make the danger and correction visible. Diagram 4 — Product as Mature State, Not Final Closure A developmental curve leading to product, then continuing beyond it with lighter or dashed extension. This preserves the idea that production is a threshold, not a total ending.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Core Claims A sign becomes meaningful through its place in a sequence. Representation quality determines whether a sign clarifies or merely decorates. Inner representation is shaped by the combined reading of external signs. Nodes are staged moments where visible development and hidden support meet. The body of thought is the substrate on which a project develops. Read–write study protects human agency inside AI-supported production. A product is a mature state in a continuing developmental process.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EML Tagging Category</w:t>
        <w:tab/>
        <w:t xml:space="preserve">Tags Book Part</w:t>
        <w:tab/>
        <w:t xml:space="preserve">Grammar / Circuits / Futures Primary Book Part</w:t>
        <w:tab/>
        <w:t xml:space="preserve">Grammar EML Layer(s)</w:t>
        <w:tab/>
        <w:t xml:space="preserve">Structural / Cognitive-Temporal / Agentic Status</w:t>
        <w:tab/>
        <w:t xml:space="preserve">Draft concept set Candidate Lexicon Terms</w:t>
        <w:tab/>
        <w:t xml:space="preserve">semiotic sequencing; representation quality; inner representation; staged points; auto-pilot mode; node as scaffold; body of thought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Analytical Conclusion This note strengthens EML by showing that signs are not isolated marks but developmental operators. A sign, when placed in sequence, becomes part of a larger circuit. A node, when read temporally, becomes a scaffold. A graph, when read developmentally, becomes a map of understanding. A product, when read through EML, becomes a mature state in a continuing process rather than a closed endpoint. The deepest contribution is the link between semiotics and agency. The human must remain the reader, interpreter, and reviser of the system. Otherwise, AI-supported development collapses into auto-pilot mode. Read–write study keeps the process alive because it forces the human to return to the signs, interpret the body of thought, and shape the path toward the product.</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6"/>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