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dq4ubdxehpz" w:id="0"/>
      <w:bookmarkEnd w:id="0"/>
      <w:r w:rsidDel="00000000" w:rsidR="00000000" w:rsidRPr="00000000">
        <w:rPr>
          <w:rtl w:val="0"/>
        </w:rPr>
        <w:t xml:space="preserve">source_file: 29-april-26-chatgpt-emo.txt original_proposed_location: 03-Working/Step-3-Essays/2026-04-18-boundaries-flags-and-emergence-of-knowledge-space.md extraction_date: 2026-04-30 project_area: 05-Knowledge-Space-Semiotics</w:t>
      </w:r>
    </w:p>
    <w:p w:rsidR="00000000" w:rsidDel="00000000" w:rsidP="00000000" w:rsidRDefault="00000000" w:rsidRPr="00000000" w14:paraId="00000003">
      <w:pPr>
        <w:pStyle w:val="Heading1"/>
        <w:rPr/>
      </w:pPr>
      <w:bookmarkStart w:colFirst="0" w:colLast="0" w:name="_d0u8tgtftjfi"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7gen48p8pr30" w:id="2"/>
      <w:bookmarkEnd w:id="2"/>
      <w:r w:rsidDel="00000000" w:rsidR="00000000" w:rsidRPr="00000000">
        <w:rPr>
          <w:rtl w:val="0"/>
        </w:rPr>
        <w:t xml:space="preserve">Step 3 · Academic Essay Date of essay: 18 April 2026 Working title: Boundaries, Flags, and the Emergence of Knowledge Space Linked Step 2 section: Mechanical Boundaries, Emergent Forms, and the Flagging of Knowledge Space 4.1 Abstract This essay argues that learning takes place within a knowledge space that is never empty at the point of entry. Before the learner creates anything, the space is already marked by boundaries, cultural inheritances, linguistic scaffolds, and predefined routes of movement. Yet learning is not reducible to traversal through these given structures. It also depends on emergent activity: the learner’s capacity to generate representations, shape problems, and form new constructs through reading, writing, and engagement. The tension between the mechanical and the emergent is therefore not a conflict between opposites, but a compositional relation that defines educational reality. The image of the flag clarifies this relation by showing how concepts, signs, and inherited names function as orienting anchors in conceptual terrain. Reading and writing become foundational because they are the means by which a learner enters, navigates, and eventually reshapes that terrain. This direction is consistent with the project’s larger EML view that learning is visible, revisable, and navigable through structured return, layered representation, and temporal scaffolding.</w:t>
      </w:r>
    </w:p>
    <w:p w:rsidR="00000000" w:rsidDel="00000000" w:rsidP="00000000" w:rsidRDefault="00000000" w:rsidRPr="00000000" w14:paraId="00000005">
      <w:pPr>
        <w:rPr/>
      </w:pPr>
      <w:r w:rsidDel="00000000" w:rsidR="00000000" w:rsidRPr="00000000">
        <w:rPr>
          <w:rtl w:val="0"/>
        </w:rPr>
        <w:t xml:space="preserve">4.2 Essay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The Learner Never Begins in Empty Space A persistent illusion in education is that learning begins with an isolated subject encountering new information. Your note rejects this image. It implies that every learner arrives within a field that has already been prepared, marked, and populated. Curriculum sections, social norms, linguistic habits, cultural assumptions, and educational routines all shape the initial terrain. This means that a knowledge space is not simply the set of ideas to be learned. It is the structured field in which certain movements are already made more likely than others. A topic comes with boundaries. A lesson comes with sequencing. A discipline comes with inherited categories. A culture comes with signs already charged with meaning. The learner enters not a blank page, but a pre-inscribed geography. This is why the mechanical paradigm matters. It names the already-built side of learning. It includes sections, divisions, predefined features, mapped sequences, and the supplied supports that make entry possible. Without such prior structure, there would be no foothold. No one begins from nowhere. But this is only half of the account. If learning were merely movement through predefined pathways, then the learner would remain a passenger inside someone else’s map. The note insists on something more.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Mechanical Paradigm and Emergent Paradigm as a Hybrid Composition One of the strongest insights in the note is that educational reality is not pure. Study is described as a hybrid system at play. This phrase matters because it resists the temptation to choose between total structure and total openness. The mechanical paradigm gives: boundaries sections guidelines inherited constructs predefined elements routes of progression The emergent paradigm gives: self-developed constructs user-defined forms active representation creative movement within the problem space new relations produced in writing and inquiry This means the learner is always working in a ratio between what is already there and what is brought forth. A student solving a problem is never using only raw creativity. There are always inherited terms, prior methods, known examples, and scaffolds provided by others. At the same time, genuine study cannot be exhausted by executing a sequence. It requires a degree of local formation. The learner must shape a response, build a representation, and participate in making the knowledge space more explicit. This relation is deeply important for EML. It suggests that educational modelling should not oppose scaffolding and emergence, but diagram their interaction. Structure is not the enemy of growth. It is the condition under which growth can become coherent. Yet if structure hardens into enclosure, emergence thins into compliance. The design problem is not whether to use structure, but how to prevent it from becoming the whole of the experience.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Flag as a Conceptual Operator The image of planting a flag is one of the richest contributions of the note. It is more than metaphor. It behaves like a conceptual operator. A flag does several things at once: it marks a place it establishes orientation it compresses a field into a point it signals identity or claim it enables return When a learner encounters a major concept, a cultural sign, or a key name such as Vygotsky, that sign can function like a planted flag. It creates a point around which relations gather. It gives location inside an otherwise diffuse terrain. It says: here is something to navigate by. This is why the note links flags with ripples. Once a point is established, effects move outward from it. The flag is not the whole field, but it creates a center from which a field can begin to organize itself. In conceptual work, this is how a key term stabilizes attention. In educational development, this is how early language and inherited structures orient later thinking. There is also a developmental claim here. Culture itself is described as a set of flags embedded from childhood to adulthood. That means identity is not formed outside the knowledge space. Identity is built through repeated anchoring within it. The learner’s world is already populated with orienting markers before formal study even begins. This makes the note especially strong because it links the social, the conceptual, and the spatial. A cultural symbol is not merely a meaning to decode. It is a coordinate in a lived terrain.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Reading and Writing as Foundational Scaffold The note culminates in a decisive statement: reading and writing are foundational scaffold. This is pivotal because it shifts literacy from a basic skill to an architectural function. Reading and writing matter here for at least four reasons. First, they make representation possible. Without them, the learner cannot stabilize a thought long enough to inspect it. A passing impression remains atmospheric. Inscription turns it into something revisit-able. Second, they make navigation possible. Once thoughts, signs, and relations can be externalized, the learner can move among them. This aligns with the wider EML insistence that pages, diagrams, and marks do not merely store meaning. They structure pathways through it. Third, they make self-presentation possible. The note explicitly says that reading and writing allow one to represent and present oneself to the world. This is not trivial. It means literacy is a condition of agency. Fourth, they make production possible. The learner does not only absorb forms through literacy. The learner can also produce them. This is the point at which inherited scaffold becomes generative capacity. In EML terms, reading and writing are not peripheral tools. They are among the primary mechanisms through which structure, temporality, and agency become linked. A mark on the page can preserve thought through time, allow return, invite revision, and support developmental thickening. The broader project has already established that revision and ingestion are not secondary to learning but part of its generative core.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Knowledge Space as Terrain Rather Than Container A major theoretical implication of the note is that knowledge should be understood as terrain. This shift matters. A container model suggests storage. A terrain model suggests movement, orientation, scale, relation, and inhabitation. Once knowledge space is treated as terrain: boundaries matter markers matter overlap matters scales matter pathways matter one’s position matters This is why the note repeatedly reaches for geographic imagery: maps, flags, boundaries, central points, ripples, x-y-z orientation, scope, and area of focus. The phrase a geographical sort of mind is particularly important because it suggests a mode of cognition that understands by locating and relating, not merely by labeling. This has direct consequences for education. Teaching is no longer the transfer of items into a mental container. It becomes the guided opening of a terrain, with explicit attention to what has already been marked and what remains available for discovery. For the book, this pushes strongly into Part II, Grammar. It helps define what a knowledge space is and how orientation mechanisms operate within it. It also reaches into Part I, Orientation, because the learner’s entry into such a terrain is existential as well as technical: one is not only learning a topic, but locating oneself in a world of inherited signs and possible movements.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AI Models, Data Sets, and the Problem of Predefinition The note briefly turns toward AI models and data sets, and this turn is significant. It suggests that the data set in an AI system functions as a predefined set of elements configuring an anchor or initial inscription. This is conceptually parallel to the role that culture, language, and inherited constructs play in human learning. The comparison is useful, but it should be handled carefully. It is useful because it clarifies that both human and machine systems begin from preconfigured fields rather than from pure spontaneity. In both cases, there is a prior arrangement that shapes what can appear. But the comparison also opens an important distinction. Human learning is not merely data retrieval from inherited priors. It includes self-development, reinterpretation, conflict, re-entry, and the building of new constructs through lived engagement. If AI becomes the dominant metaphor, there is a risk that the mechanical side of the ratio will eclipse the emergent side. This is where your wider project’s warning becomes decisive: the purpose is to train the human, not the machine. AI can help externalize, mirror, and clarify, but it must not collapse developmental stages into instant output. Delay, return, and scaffold thickening remain necessary design features.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The Educational Problem: How to Design for Bounded Emergence The essay’s strongest design implication is that education should be built for bounded emergence. That phrase can name a middle path: not rigid predefinition without growth not pure openness without structure but a designed field in which emergence has room to occur without dissolving into vagueness Such a field would make several things visible: the boundaries of the current space the inherited anchors already operating within it the scaffolds being supplied the room for self-developed constructs the evolving ratio between mapped route and emergent formation This has concrete value for your book and for classroom design. A page, lesson, or curriculum could explicitly distinguish: what is given what is to be explored what is to be generated what signs function as anchors what forms of writing permit the learner to reshape the field This also suggests a visual program. A diagram might show planted flags inside an overlapping terrain, with boundary lines, ripple fields, and pathways between predefined structures and emergent constructions. That would translate the conceptual movement of the note into a genuine EML visual.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jrhr5o640zxj" w:id="3"/>
      <w:bookmarkEnd w:id="3"/>
      <w:r w:rsidDel="00000000" w:rsidR="00000000" w:rsidRPr="00000000">
        <w:rPr>
          <w:rtl w:val="0"/>
        </w:rPr>
        <w:t xml:space="preserve">4.3 Explicit Links to EML Which EML concepts are clarified or extended? Knowledge space as navigable terrain rather than container Foundational scaffold as inherited linguistic, cultural, and educational support Reading-writing as platform for representation, navigation, and production Structural / Cognitive-Temporal / Agentic interaction within one learning event Anchoring through flags, names, and orienting markers The relation between predefined structures and emergent constructs The need to protect developmental emergence from collapse into mechanical traversal Which Book Part does this feed? Primary: Grammar Secondary: Orientation Possible later extension: Futures, if developed through the AI/data-set comparison EML Layer(s): Structural: boundaries, curriculum sections, flags, scaffolds, knowledge space Cognitive-Temporal: emergence, ripple effects, developmental formation, return Agentic: learner-generated constructs, knowledgeable other, self-presentation through literacy</w:t>
      </w:r>
    </w:p>
    <w:p w:rsidR="00000000" w:rsidDel="00000000" w:rsidP="00000000" w:rsidRDefault="00000000" w:rsidRPr="00000000" w14:paraId="00000023">
      <w:pPr>
        <w:pStyle w:val="Heading2"/>
        <w:rPr/>
      </w:pPr>
      <w:bookmarkStart w:colFirst="0" w:colLast="0" w:name="_7f3jnnmygm4q" w:id="4"/>
      <w:bookmarkEnd w:id="4"/>
      <w:r w:rsidDel="00000000" w:rsidR="00000000" w:rsidRPr="00000000">
        <w:rPr>
          <w:rtl w:val="0"/>
        </w:rPr>
        <w:t xml:space="preserve">4.4 Directions for Next Handwritten Cycle New questions to take back into the notebook What exactly distinguishes a flag from a label, a marker, or an anchor? When does a boundary support emergence, and when does it become enclosure? How can reading and writing be represented visually as navigation rather than as basic literacy? What is the right ratio of predefined features to self-developed constructs in a classroom task? How do cultural flags become invisible through familiarity, and how can they be made visible again? In what way is an AI data set similar to, and different from, a human social inheritance? Diagrams suggested by this essay Knowledge Space with Flags and Ripples</w:t>
        <w:br w:type="textWrapping"/>
        <w:t xml:space="preserve">A terrain diagram showing planted conceptual flags, expanding ripple fields, and overlapping boundaries. Mechanical-to-Emergent Ratio Map</w:t>
        <w:br w:type="textWrapping"/>
        <w:t xml:space="preserve">A spectrum or layered field showing how predefined features and learner-generated constructs combine in one inquiry. Reading-Writing as Foundational Scaffold</w:t>
        <w:br w:type="textWrapping"/>
        <w:t xml:space="preserve">A base-layer diagram showing literacy as the platform beneath representation, navigation, identity, and form-production. Inherited Anchors vs Emergent Construction</w:t>
        <w:br w:type="textWrapping"/>
        <w:t xml:space="preserve">A two-level diagram showing supplied structures from culture/curriculum and learner-built forms rising through engagement.</w:t>
      </w:r>
    </w:p>
    <w:p w:rsidR="00000000" w:rsidDel="00000000" w:rsidP="00000000" w:rsidRDefault="00000000" w:rsidRPr="00000000" w14:paraId="00000024">
      <w:pPr>
        <w:rPr/>
      </w:pPr>
      <w:r w:rsidDel="00000000" w:rsidR="00000000" w:rsidRPr="00000000">
        <w:rPr>
          <w:rtl w:val="0"/>
        </w:rPr>
        <w:t xml:space="preserve">Closing Note This note pushes the project forward because it makes a subtle but crucial distinction: the learner is not merely guided through a ready-made structure, nor simply unleashed into free creation. The learner enters a marked world and gradually learns how to produce form within it. That is a strong educational claim, and it gives the EML book another way to articulate its central vision: learning is navigation within a structured terrain that becomes more inhabitable as the learner begins to write, mark, and reshape it. Tagging Book Part: Grammar EML Layer(s): Structural / Cognitive-Temporal / Agentic</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