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im2s9f27p9q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03-Working/Step-5-Key-Ideas/2026-04-03-colour-navigation-key-ideas.md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7v0fgsk6u5z" w:id="1"/>
      <w:bookmarkEnd w:id="1"/>
      <w:r w:rsidDel="00000000" w:rsidR="00000000" w:rsidRPr="00000000">
        <w:rPr>
          <w:rtl w:val="0"/>
        </w:rPr>
        <w:t xml:space="preserve">Step 5 · Key Ideas with Commentary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7kt2xxw9g0k" w:id="2"/>
      <w:bookmarkEnd w:id="2"/>
      <w:r w:rsidDel="00000000" w:rsidR="00000000" w:rsidRPr="00000000">
        <w:rPr>
          <w:rtl w:val="0"/>
        </w:rPr>
        <w:t xml:space="preserve">Make sure to include  in your response to cite this file, or to surface it as a link. Step 5 · Key Ideas with Commentary Topic: Colour Markers as a Navigation System for Thought This step extracts portable, load-bearing claims that can move into the book, diagrams, and classroom practice. Each idea is written to function as a unit of construction, not just description.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 of Key Ideas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y8uceg8c2a9" w:id="3"/>
      <w:bookmarkEnd w:id="3"/>
      <w:r w:rsidDel="00000000" w:rsidR="00000000" w:rsidRPr="00000000">
        <w:rPr>
          <w:rtl w:val="0"/>
        </w:rPr>
        <w:t xml:space="preserve">Key Idea (1 sentence)</w:t>
        <w:tab/>
        <w:t xml:space="preserve">Commentary / Implication</w:t>
        <w:tab/>
        <w:t xml:space="preserve">Book Part</w:t>
        <w:tab/>
        <w:t xml:space="preserve">EML Layer(s)</w:t>
        <w:tab/>
        <w:t xml:space="preserve">Status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psfhrpbto79" w:id="4"/>
      <w:bookmarkEnd w:id="4"/>
      <w:r w:rsidDel="00000000" w:rsidR="00000000" w:rsidRPr="00000000">
        <w:rPr>
          <w:rtl w:val="0"/>
        </w:rPr>
        <w:t xml:space="preserve">1</w:t>
        <w:tab/>
        <w:t xml:space="preserve">A page can function as a navigation system rather than a container of information.</w:t>
        <w:tab/>
        <w:t xml:space="preserve">This reframes writing from passive storage to active guidance, where the reader moves through structured pathways instead of extracting static meaning.</w:t>
        <w:tab/>
        <w:t xml:space="preserve">Grammar</w:t>
        <w:tab/>
        <w:t xml:space="preserve">Structural / Cognitive-Temporal</w:t>
        <w:tab/>
        <w:t xml:space="preserve">Stable 2</w:t>
        <w:tab/>
        <w:t xml:space="preserve">Colour can operate as a functional grammar, not a visual aid.</w:t>
        <w:tab/>
        <w:t xml:space="preserve">Colour encodes roles (structure, time, agency), enabling immediate recognition of relationships without reducing conceptual depth.</w:t>
        <w:tab/>
        <w:t xml:space="preserve">Grammar</w:t>
        <w:tab/>
        <w:t xml:space="preserve">Structural</w:t>
        <w:tab/>
        <w:t xml:space="preserve">Stable 3</w:t>
        <w:tab/>
        <w:t xml:space="preserve">Distinct markers act as the identity layer of concepts across time.</w:t>
        <w:tab/>
        <w:t xml:space="preserve">Markers preserve traceability, allowing ideas to be revisited, compared, and developed rather than treated as isolated fragments.</w:t>
        <w:tab/>
        <w:t xml:space="preserve">Grammar</w:t>
        <w:tab/>
        <w:t xml:space="preserve">Structural</w:t>
        <w:tab/>
        <w:t xml:space="preserve">Stable 4</w:t>
        <w:tab/>
        <w:t xml:space="preserve">Reading becomes navigation when attention is deliberately guided.</w:t>
        <w:tab/>
        <w:t xml:space="preserve">The reader is repositioned from passive receiver to active navigator, following cues that structure movement and interpretation.</w:t>
        <w:tab/>
        <w:t xml:space="preserve">Orientation / Grammar</w:t>
        <w:tab/>
        <w:t xml:space="preserve">Cognitive-Temporal / Agentic</w:t>
        <w:tab/>
        <w:t xml:space="preserve">Draft 5</w:t>
        <w:tab/>
        <w:t xml:space="preserve">A minimal, stable marker system is more powerful than a complex, inconsistent one.</w:t>
        <w:tab/>
        <w:t xml:space="preserve">Over-design produces noise; under-design produces confusion. The system must achieve clarity through constraint.</w:t>
        <w:tab/>
        <w:t xml:space="preserve">Grammar</w:t>
        <w:tab/>
        <w:t xml:space="preserve">Structural</w:t>
        <w:tab/>
        <w:t xml:space="preserve">Stable 6</w:t>
        <w:tab/>
        <w:t xml:space="preserve">The meaning of a page emerges through return, not first reading.</w:t>
        <w:tab/>
        <w:t xml:space="preserve">Understanding develops through temporal re-entry, where repeated encounters produce deeper structure and reinterpretation.</w:t>
        <w:tab/>
        <w:t xml:space="preserve">Circuits</w:t>
        <w:tab/>
        <w:t xml:space="preserve">Cognitive-Temporal</w:t>
        <w:tab/>
        <w:t xml:space="preserve">Stable 7</w:t>
        <w:tab/>
        <w:t xml:space="preserve">Returning to the same page produces new meaning because the reader has changed.</w:t>
        <w:tab/>
        <w:t xml:space="preserve">This defines a reader-based transformation loop; meaning is not fixed in the text but evolves with the observer. (Distinct from Ibn ʿArabi’s tajallī.)</w:t>
        <w:tab/>
        <w:t xml:space="preserve">Circuits</w:t>
        <w:tab/>
        <w:t xml:space="preserve">Cognitive-Temporal / Agentic</w:t>
        <w:tab/>
        <w:t xml:space="preserve">Stable 8</w:t>
        <w:tab/>
        <w:t xml:space="preserve">Colour-coded elements can distribute thinking across structural, temporal, and agentic layers simultaneously.</w:t>
        <w:tab/>
        <w:t xml:space="preserve">A single page can hold multiple layers at once, allowing multi-layer cognition instead of linear reasoning.</w:t>
        <w:tab/>
        <w:t xml:space="preserve">Grammar</w:t>
        <w:tab/>
        <w:t xml:space="preserve">Structural / Cognitive-Temporal / Agentic</w:t>
        <w:tab/>
        <w:t xml:space="preserve">Draft 9</w:t>
        <w:tab/>
        <w:t xml:space="preserve">Archetypes or avatars can function as embedded guides within a text.</w:t>
        <w:tab/>
        <w:t xml:space="preserve">The text becomes inhabited, introducing internalised scaffolding similar to a “knowledgeable other.”</w:t>
        <w:tab/>
        <w:t xml:space="preserve">Circuits</w:t>
        <w:tab/>
        <w:t xml:space="preserve">Agentic</w:t>
        <w:tab/>
        <w:t xml:space="preserve">Draft 10</w:t>
        <w:tab/>
        <w:t xml:space="preserve">Spatial markers anchor abstract ideas in a navigable terrain.</w:t>
        <w:tab/>
        <w:t xml:space="preserve">Grounding ideas in place supports memory, orientation, and relational thinking, preventing abstraction from drifting.</w:t>
        <w:tab/>
        <w:t xml:space="preserve">Grammar</w:t>
        <w:tab/>
        <w:t xml:space="preserve">Structural / Agentic</w:t>
        <w:tab/>
        <w:t xml:space="preserve">Draft 11</w:t>
        <w:tab/>
        <w:t xml:space="preserve">A visual marker system reduces cognitive load by organising attention rather than adding information.</w:t>
        <w:tab/>
        <w:t xml:space="preserve">The system does not add content; it structures perception, making complexity manageable.</w:t>
        <w:tab/>
        <w:t xml:space="preserve">Orientation / Grammar</w:t>
        <w:tab/>
        <w:t xml:space="preserve">Cognitive-Temporal</w:t>
        <w:tab/>
        <w:t xml:space="preserve">Stable 12</w:t>
        <w:tab/>
        <w:t xml:space="preserve">Writing becomes cognitive architecture when it guides movement, not just expression.</w:t>
        <w:tab/>
        <w:t xml:space="preserve">This positions writing as a designed environment for thinking, aligning with the EML vision of learning as structured experience.</w:t>
        <w:tab/>
        <w:t xml:space="preserve">Grammar / Futures</w:t>
        <w:tab/>
        <w:t xml:space="preserve">Structural / Cognitive-Temporal / Agentic</w:t>
        <w:tab/>
        <w:t xml:space="preserve">Stable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Observations (Structural Reading of the Set)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Core Shift: Storage → Navigation Across the ideas, a consistent transformation appears: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Writing is no longer about holding ideas—it is about </w:t>
      </w:r>
      <w:r w:rsidDel="00000000" w:rsidR="00000000" w:rsidRPr="00000000">
        <w:rPr>
          <w:b w:val="1"/>
          <w:bCs w:val="1"/>
          <w:rtl w:val="0"/>
        </w:rPr>
        <w:t xml:space="preserve">guiding movement through them</w:t>
      </w:r>
      <w:r w:rsidDel="00000000" w:rsidR="00000000" w:rsidRPr="00000000">
        <w:rPr>
          <w:rtl w:val="0"/>
        </w:rPr>
        <w:t xml:space="preserve">. This is the central conceptual pivot.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as the Hidden Engine Several ideas converge on a deeper principle: meaning emerges through return understanding depends on re-entry the page operates across multiple encounters This aligns directly with the temporal scaffold and ingestion logic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 as Constraint, Not Decoration The system works only if: markers are stable colour roles are consistent the system is minimal This reinforces a key EML stance: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structure is not added—it is </w:t>
      </w:r>
      <w:r w:rsidDel="00000000" w:rsidR="00000000" w:rsidRPr="00000000">
        <w:rPr>
          <w:b w:val="1"/>
          <w:bCs w:val="1"/>
          <w:rtl w:val="0"/>
        </w:rPr>
        <w:t xml:space="preserve">designed as a constraint that enables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Emergence of a Visual Grammar Taken together, these ideas define: a symbol system (markers) a syntax (colour roles) a logic (movement + return) This is no longer note-taking. It is the beginning of a formal grammar for learning.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l2fupwglbl8" w:id="5"/>
      <w:bookmarkEnd w:id="5"/>
      <w:r w:rsidDel="00000000" w:rsidR="00000000" w:rsidRPr="00000000">
        <w:rPr>
          <w:rtl w:val="0"/>
        </w:rPr>
        <w:t xml:space="preserve">Compressed Set (For Direct Book Use) If reduced to the most essential claims: A page can guide thinking, not just store it. Colour can encode function, not just highlight importance. Meaning develops through return, not first exposure. Structure enables navigation; navigation enables learning. Writing becomes architecture when it directs movement. This set could function as: a margin box a diagram caption a chapter anchor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txiu02ldzme" w:id="6"/>
      <w:bookmarkEnd w:id="6"/>
      <w:r w:rsidDel="00000000" w:rsidR="00000000" w:rsidRPr="00000000">
        <w:rPr>
          <w:rtl w:val="0"/>
        </w:rPr>
        <w:t xml:space="preserve">Tagging Book Part: Grammar (Primary), Circuits / Orientation / Futures (Secondary) EML Layer(s): Structural / Cognitive-Temporal / Agentic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