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d7yxn9bqshn7" w:id="0"/>
      <w:bookmarkEnd w:id="0"/>
      <w:r w:rsidDel="00000000" w:rsidR="00000000" w:rsidRPr="00000000">
        <w:rPr>
          <w:rtl w:val="0"/>
        </w:rPr>
        <w:t xml:space="preserve">source_file: 29-april-26-chatgpt-emo.txt original_proposed_location: 06-Lexicon/Definitions/Book-as-a-Model-in-Book-Form.md extraction_date: 2026-04-30 project_area: 06-Lexicon-and-Key-Terms</w:t>
      </w:r>
    </w:p>
    <w:p w:rsidR="00000000" w:rsidDel="00000000" w:rsidP="00000000" w:rsidRDefault="00000000" w:rsidRPr="00000000" w14:paraId="00000003">
      <w:pPr>
        <w:pStyle w:val="Heading1"/>
        <w:rPr/>
      </w:pPr>
      <w:bookmarkStart w:colFirst="0" w:colLast="0" w:name="_tpr7wei36j3b" w:id="1"/>
      <w:bookmarkEnd w:id="1"/>
      <w:r w:rsidDel="00000000" w:rsidR="00000000" w:rsidRPr="00000000">
        <w:rPr>
          <w:rtl w:val="0"/>
        </w:rPr>
        <w:t xml:space="preserve">To say “the book itself is a model in book form” means the book does not merely describe EML; it enacts it. Its structure, visual rhythm, and writing process are meant to demonstrate the same principles it argues for: learning as layered, iterative, navigable, and revisable. The project plan states this directly: the book is to be “visual-first, calm, exact, humane,” and shaped by the Learning Journal Cycle rather than written as a detached exposition. That means the book’s architecture becomes part of the argument. The form teaches alongside the content.</w:t>
      </w:r>
    </w:p>
    <w:p w:rsidR="00000000" w:rsidDel="00000000" w:rsidP="00000000" w:rsidRDefault="00000000" w:rsidRPr="00000000" w14:paraId="00000004">
      <w:pPr>
        <w:rPr/>
      </w:pPr>
      <w:r w:rsidDel="00000000" w:rsidR="00000000" w:rsidRPr="00000000">
        <w:rPr>
          <w:rtl w:val="0"/>
        </w:rPr>
        <w:t xml:space="preserve">To say “the book itself is a model in book form” means the book does not merely describe EML; it enacts it. Its structure, visual rhythm, and writing process are meant to demonstrate the same principles it argues for: learning as layered, iterative, navigable, and revisable. The project plan states this directly: the book is to be “visual-first, calm, exact, humane,” and shaped by the Learning Journal Cycle rather than written as a detached exposition. That means the book’s architecture becomes part of the argument. The form teaches alongside the content.</w:t>
        <w:br w:type="textWrapping"/>
        <w:t xml:space="preserve">At the structural level, this means the book is designed as a knowledge space, not just a sequence of chapters. The four-part spine—Orientation, Grammar, Circuits in Practice, and Futures—organises the terrain through which the reader moves. The weekly system, Step outputs, asset mapping, and lexicon growth all feed that structure, so the manuscript emerges from repeated cycles of capture, digestion, and redistribution rather than from one-pass drafting. In that sense, the book is a macro-scale expression of the same learning system the project uses week by week.</w:t>
        <w:br w:type="textWrapping"/>
        <w:t xml:space="preserve">At the visual level, the book models EML by making navigation visible. The plan calls for restrained black-ink diagrams, selective colour, recurring symbols, and a left-page visual / right-page reflection rhythm. This means the reader is not asked only to absorb propositions. The reader is invited to move between diagram and reflection, between structure and interpretation, between seeing and re-seeing. That is exactly the same principle already present in your colour-marker work, where a page functions as a navigation system rather than a container of information.</w:t>
        <w:br w:type="textWrapping"/>
        <w:t xml:space="preserve">At the process level, the phrase means the book is also proof of method. The end-goals document says the book should embody the read–write–AI loop it describes: handwriting anchors thought, AI externalises structure, and human rereading trains the human model through disciplined return. So the book is not only the end product; it is evidence that the method works. The progression from raw handwriting to polished notes, analytical study, essay, key ideas, diagrams, and part drafts is itself part of what the book demonstrates.</w:t>
        <w:br w:type="textWrapping"/>
        <w:t xml:space="preserve">This also explains why the weekly intake template matters so much. The weekly file is not an administrative side document. It is part of the machinery by which the book becomes a model. It captures raw thought, runs it through staged reformulation, generates assets, refines voice, and bridges one week into the next. That workflow turns writing into system memory and makes the book an emergent surface of accumulated learning cycles rather than a static composition assembled after the fact.</w:t>
        <w:br w:type="textWrapping"/>
        <w:t xml:space="preserve">So, in a compressed definition: The book as a model in book form means a book whose structure, visuals, workflow, and reading rhythm embody the very grammar of learning it seeks to teach. It does not simply explain EML; it performs EML through its architecture, its cycles of return, and its designed movement between inscription, reflection, and re-entry.</w:t>
        <w:br w:type="textWrapping"/>
        <w:t xml:space="preserve">Tagging Book Part: Orientation / Grammar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