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xtkcves3pju" w:id="0"/>
      <w:bookmarkEnd w:id="0"/>
      <w:r w:rsidDel="00000000" w:rsidR="00000000" w:rsidRPr="00000000">
        <w:rPr>
          <w:rtl w:val="0"/>
        </w:rPr>
        <w:t xml:space="preserve">source_file: 29-april-26-chatgpt-emo.txt original_proposed_location: 06-Lexicon/Phrases/lived-entanglement-conceptual-analysis-applied-operation-future-projection.md extraction_date: 2026-04-30 project_area: 06-Lexicon-and-Key-Terms</w:t>
      </w:r>
    </w:p>
    <w:p w:rsidR="00000000" w:rsidDel="00000000" w:rsidP="00000000" w:rsidRDefault="00000000" w:rsidRPr="00000000" w14:paraId="00000003">
      <w:pPr>
        <w:pStyle w:val="Heading1"/>
        <w:rPr/>
      </w:pPr>
      <w:bookmarkStart w:colFirst="0" w:colLast="0" w:name="_fff3qbff5nv" w:id="1"/>
      <w:bookmarkEnd w:id="1"/>
      <w:r w:rsidDel="00000000" w:rsidR="00000000" w:rsidRPr="00000000">
        <w:rPr>
          <w:rtl w:val="0"/>
        </w:rPr>
        <w:t xml:space="preserve">That phrase names a four-stage movement of understanding.</w:t>
      </w:r>
    </w:p>
    <w:p w:rsidR="00000000" w:rsidDel="00000000" w:rsidP="00000000" w:rsidRDefault="00000000" w:rsidRPr="00000000" w14:paraId="00000004">
      <w:pPr>
        <w:rPr/>
      </w:pPr>
      <w:r w:rsidDel="00000000" w:rsidR="00000000" w:rsidRPr="00000000">
        <w:rPr>
          <w:rtl w:val="0"/>
        </w:rPr>
        <w:t xml:space="preserve">That phrase names a four-stage movement of understanding. Lived entanglement is the starting point: the human being is already inside the condition, feeling its pressures before fully naming them. This is the level of experience, tension, confusion, inheritance, and situatedness. Conceptual analysis is the next move: the lived condition is no longer only felt; it is examined, named, and structurally interpreted. Here the problem becomes legible as a pattern, mechanism, or grammar. Applied operation then asks how that structure actually functions in practice—in classrooms, routines, pages, diagrams, systems, and tools. It is where concepts are not merely understood but used. Future projection carries the line forward: once we know the condition, the structure, and the operation, we can ask what this trajectory becomes, what it produces, what it risks, and what new forms of educational or technical life it may open. So the sequence describes a progression from being inside a problem, to understanding its architecture, to working with it in reality, to projecting its consequences and possibilities. It is a strong description of how the book should think: not by jumping straight to theory or straight to prediction, but by moving in order from existence, to grammar, to practice, to horizon. That is why it aligns so closely with the four-part spine of Orientation, Grammar, Circuits in Practice, and Futures. Tagging Book Part: Orientation / Grammar / Circuits / Futures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