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a89jwv2zyt" w:id="0"/>
      <w:bookmarkEnd w:id="0"/>
      <w:r w:rsidDel="00000000" w:rsidR="00000000" w:rsidRPr="00000000">
        <w:rPr>
          <w:rtl w:val="0"/>
        </w:rPr>
        <w:t xml:space="preserve">source_file: 29-april-26-chatgpt-emo.txt original_proposed_location: 06-Lexicon/Phrases/what-it-means-to-be-in-the-problem-to-where-it-may-lead.md extraction_date: 2026-04-30 project_area: 06-Lexicon-and-Key-Terms</w:t>
      </w:r>
    </w:p>
    <w:p w:rsidR="00000000" w:rsidDel="00000000" w:rsidP="00000000" w:rsidRDefault="00000000" w:rsidRPr="00000000" w14:paraId="00000003">
      <w:pPr>
        <w:pStyle w:val="Heading1"/>
        <w:rPr/>
      </w:pPr>
      <w:bookmarkStart w:colFirst="0" w:colLast="0" w:name="_hd2812eirzwi" w:id="1"/>
      <w:bookmarkEnd w:id="1"/>
      <w:r w:rsidDel="00000000" w:rsidR="00000000" w:rsidRPr="00000000">
        <w:rPr>
          <w:rtl w:val="0"/>
        </w:rPr>
        <w:t xml:space="preserve">That sequence describes a movement of understanding across scales. It is a way of saying the book should lead the reader through four different but connected questions, each deepening the one before it.</w:t>
      </w:r>
    </w:p>
    <w:p w:rsidR="00000000" w:rsidDel="00000000" w:rsidP="00000000" w:rsidRDefault="00000000" w:rsidRPr="00000000" w14:paraId="00000004">
      <w:pPr>
        <w:rPr/>
      </w:pPr>
      <w:r w:rsidDel="00000000" w:rsidR="00000000" w:rsidRPr="00000000">
        <w:rPr>
          <w:rtl w:val="0"/>
        </w:rPr>
        <w:t xml:space="preserve">That sequence describes a movement of understanding across scales. It is a way of saying the book should lead the reader through four different but connected questions, each deepening the one before it. “What it means to be in the problem” is the existential entry point. It asks what the condition feels like from inside: confusion, compression, drift, inherited structures, classroom pressure, the lived difficulty of trying to think and act within a broken or thinning system. This is where the reader gains orientation and stakes. “How the problem is structured” moves from experience to grammar. It asks what mechanisms, relations, constraints, and patterns are producing the condition. This is where the book stops naming symptoms and starts identifying architecture. “How that structure operates in practice” shifts into circuits and cases. It asks how the grammar shows up in classrooms, notebooks, routines, AI interactions, and real educational designs. Here the concepts are tested under use. “Where it may lead” is the speculative horizon. It asks what futures become possible or dangerous once these structures scale into human–AI systems, technics, and broader learning ecologies. That four-part movement closely matches the project spine of Orientation, Grammar, Circuits in Practice, and Futures.</w:t>
        <w:br w:type="textWrapping"/>
        <w:t xml:space="preserve">Another way to say it is this: the sequence moves from lived entanglement, to conceptual analysis, to applied operation, to future projection. A teacher may first feel that something is wrong in the classroom but not yet know why. Then the book names the structure behind that feeling, perhaps temporal compression or loss of structural literacy. Then it shows how that structure actually works in routines and tools. Finally, it asks what follows if we continue on that path or redesign it. So the sequence is not just a writing strategy. It is a developmental logic for understanding: first inhabit the problem, then map it, then test it, then project it.</w:t>
        <w:br w:type="textWrapping"/>
        <w:t xml:space="preserve">Tagging Book Part: Orientation / Grammar / Circuits / Futures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