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14F9" w14:textId="48A693D4" w:rsidR="00E249C0" w:rsidRPr="00E249C0" w:rsidRDefault="00E249C0">
      <w:pPr>
        <w:rPr>
          <w:b/>
          <w:bCs/>
        </w:rPr>
      </w:pPr>
      <w:r w:rsidRPr="00E249C0">
        <w:rPr>
          <w:b/>
          <w:bCs/>
        </w:rPr>
        <w:t>Stat 109 Project – Spring 2023</w:t>
      </w:r>
    </w:p>
    <w:p w14:paraId="488E2C11" w14:textId="25EBCD34" w:rsidR="00E249C0" w:rsidRPr="00261C7B" w:rsidRDefault="00E249C0" w:rsidP="00E249C0">
      <w:pPr>
        <w:rPr>
          <w:b/>
          <w:bCs/>
          <w:sz w:val="28"/>
          <w:szCs w:val="28"/>
        </w:rPr>
      </w:pPr>
      <w:r>
        <w:rPr>
          <w:b/>
          <w:bCs/>
          <w:sz w:val="28"/>
          <w:szCs w:val="28"/>
        </w:rPr>
        <w:t xml:space="preserve">Impact of </w:t>
      </w:r>
      <w:r w:rsidRPr="00261C7B">
        <w:rPr>
          <w:b/>
          <w:bCs/>
          <w:sz w:val="28"/>
          <w:szCs w:val="28"/>
        </w:rPr>
        <w:t xml:space="preserve">Social Determinant of Health </w:t>
      </w:r>
      <w:r>
        <w:rPr>
          <w:b/>
          <w:bCs/>
          <w:sz w:val="28"/>
          <w:szCs w:val="28"/>
        </w:rPr>
        <w:t xml:space="preserve">Drivers on </w:t>
      </w:r>
      <w:r w:rsidRPr="00261C7B">
        <w:rPr>
          <w:b/>
          <w:bCs/>
          <w:sz w:val="28"/>
          <w:szCs w:val="28"/>
        </w:rPr>
        <w:t xml:space="preserve">Hospital </w:t>
      </w:r>
      <w:r>
        <w:rPr>
          <w:b/>
          <w:bCs/>
          <w:sz w:val="28"/>
          <w:szCs w:val="28"/>
        </w:rPr>
        <w:t>Quality Measures</w:t>
      </w:r>
      <w:r w:rsidRPr="00261C7B">
        <w:rPr>
          <w:b/>
          <w:bCs/>
          <w:sz w:val="28"/>
          <w:szCs w:val="28"/>
        </w:rPr>
        <w:t>:</w:t>
      </w:r>
    </w:p>
    <w:p w14:paraId="67F114DF" w14:textId="3A2A5699" w:rsidR="00E249C0" w:rsidRDefault="00E249C0">
      <w:r w:rsidRPr="00E249C0">
        <w:rPr>
          <w:b/>
          <w:bCs/>
        </w:rPr>
        <w:t>Team Members:</w:t>
      </w:r>
      <w:r>
        <w:t xml:space="preserve"> Erin Rebholz, Nadia</w:t>
      </w:r>
      <w:r w:rsidR="007C5CEB">
        <w:t xml:space="preserve"> </w:t>
      </w:r>
      <w:r w:rsidR="00B464C2">
        <w:t>Zafar</w:t>
      </w:r>
      <w:r>
        <w:t>, Imran</w:t>
      </w:r>
      <w:r w:rsidR="007C5CEB">
        <w:t xml:space="preserve"> </w:t>
      </w:r>
      <w:proofErr w:type="spellStart"/>
      <w:r w:rsidR="00334197" w:rsidRPr="00B464C2">
        <w:t>Naskani</w:t>
      </w:r>
      <w:proofErr w:type="spellEnd"/>
      <w:r w:rsidRPr="00B464C2">
        <w:t>,</w:t>
      </w:r>
      <w:r>
        <w:t xml:space="preserve"> Max</w:t>
      </w:r>
      <w:r w:rsidR="007C5CEB">
        <w:t xml:space="preserve"> </w:t>
      </w:r>
      <w:proofErr w:type="spellStart"/>
      <w:r w:rsidR="00AE3E4D">
        <w:t>Yanover</w:t>
      </w:r>
      <w:proofErr w:type="spellEnd"/>
    </w:p>
    <w:p w14:paraId="5EE9F04E" w14:textId="0901A385" w:rsidR="00E249C0" w:rsidRPr="00E249C0" w:rsidRDefault="00E249C0">
      <w:pPr>
        <w:rPr>
          <w:b/>
          <w:bCs/>
        </w:rPr>
      </w:pPr>
      <w:r w:rsidRPr="00E249C0">
        <w:rPr>
          <w:b/>
          <w:bCs/>
        </w:rPr>
        <w:t>Project Questions</w:t>
      </w:r>
      <w:r>
        <w:rPr>
          <w:b/>
          <w:bCs/>
        </w:rPr>
        <w:t>:</w:t>
      </w:r>
      <w:r w:rsidRPr="00E249C0">
        <w:rPr>
          <w:b/>
          <w:bCs/>
        </w:rPr>
        <w:t xml:space="preserve"> </w:t>
      </w:r>
    </w:p>
    <w:p w14:paraId="1A331AD4" w14:textId="293DB136" w:rsidR="00E249C0" w:rsidRDefault="00291DD1" w:rsidP="00E249C0">
      <w:pPr>
        <w:pStyle w:val="ListParagraph"/>
        <w:numPr>
          <w:ilvl w:val="0"/>
          <w:numId w:val="21"/>
        </w:numPr>
      </w:pPr>
      <w:r>
        <w:t xml:space="preserve">Hypothesis: </w:t>
      </w:r>
      <w:r w:rsidR="00E249C0">
        <w:t xml:space="preserve">Social Determinant </w:t>
      </w:r>
      <w:r w:rsidR="00E64032">
        <w:t>of Health Data</w:t>
      </w:r>
      <w:r w:rsidR="00980004">
        <w:t xml:space="preserve"> is a factor in determining </w:t>
      </w:r>
      <w:r w:rsidR="00E249C0">
        <w:t xml:space="preserve">hospital </w:t>
      </w:r>
      <w:r w:rsidR="007C5CEB">
        <w:t>quality and outcomes data</w:t>
      </w:r>
      <w:r w:rsidR="00980004">
        <w:t xml:space="preserve"> for health systems</w:t>
      </w:r>
    </w:p>
    <w:p w14:paraId="62D00819" w14:textId="61E78739" w:rsidR="00E249C0" w:rsidRDefault="00E249C0" w:rsidP="00E249C0">
      <w:pPr>
        <w:pStyle w:val="ListParagraph"/>
        <w:numPr>
          <w:ilvl w:val="0"/>
          <w:numId w:val="21"/>
        </w:numPr>
      </w:pPr>
      <w:r>
        <w:t xml:space="preserve">Which factors are most important in creating this prediction? </w:t>
      </w:r>
    </w:p>
    <w:p w14:paraId="125AA06C" w14:textId="7E3CFAF3" w:rsidR="00F206C9" w:rsidRPr="00E249C0" w:rsidRDefault="00F206C9" w:rsidP="00F206C9">
      <w:pPr>
        <w:rPr>
          <w:b/>
          <w:bCs/>
        </w:rPr>
      </w:pPr>
      <w:r w:rsidRPr="00E249C0">
        <w:rPr>
          <w:b/>
          <w:bCs/>
        </w:rPr>
        <w:t xml:space="preserve">Motivation: </w:t>
      </w:r>
    </w:p>
    <w:p w14:paraId="7BA1935B" w14:textId="66616A46" w:rsidR="00F2603F" w:rsidRDefault="00F2603F">
      <w:r>
        <w:t xml:space="preserve">In this paper, we will explore how United States Census demographic data and Medicare Quality reporting data can be used to predict health quality and account for regional disparities in care across the United States. </w:t>
      </w:r>
      <w:r w:rsidR="007F08D1" w:rsidRPr="00990FB7">
        <w:rPr>
          <w:noProof/>
        </w:rPr>
        <w:drawing>
          <wp:anchor distT="0" distB="0" distL="114300" distR="114300" simplePos="0" relativeHeight="251661824" behindDoc="0" locked="0" layoutInCell="1" allowOverlap="1" wp14:anchorId="75DC5FE4" wp14:editId="596B40F2">
            <wp:simplePos x="0" y="0"/>
            <wp:positionH relativeFrom="margin">
              <wp:posOffset>2843213</wp:posOffset>
            </wp:positionH>
            <wp:positionV relativeFrom="paragraph">
              <wp:posOffset>901383</wp:posOffset>
            </wp:positionV>
            <wp:extent cx="3714750" cy="3314700"/>
            <wp:effectExtent l="0" t="0" r="0" b="0"/>
            <wp:wrapSquare wrapText="bothSides"/>
            <wp:docPr id="24" name="Picture 23" descr="Diagram&#10;&#10;Description automatically generated">
              <a:extLst xmlns:a="http://schemas.openxmlformats.org/drawingml/2006/main">
                <a:ext uri="{FF2B5EF4-FFF2-40B4-BE49-F238E27FC236}">
                  <a16:creationId xmlns:a16="http://schemas.microsoft.com/office/drawing/2014/main" id="{CB37BF19-979B-58B0-3FAD-0C856A08D5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Diagram&#10;&#10;Description automatically generated">
                      <a:extLst>
                        <a:ext uri="{FF2B5EF4-FFF2-40B4-BE49-F238E27FC236}">
                          <a16:creationId xmlns:a16="http://schemas.microsoft.com/office/drawing/2014/main" id="{CB37BF19-979B-58B0-3FAD-0C856A08D58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14750" cy="33147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A86D2DE" w14:textId="38C86A44" w:rsidR="00990FB7" w:rsidRPr="00F2603F" w:rsidRDefault="00E64032">
      <w:r>
        <w:t>Increasingly</w:t>
      </w:r>
      <w:r w:rsidR="008B6DF3">
        <w:t>,</w:t>
      </w:r>
      <w:r>
        <w:t xml:space="preserve"> the United States </w:t>
      </w:r>
      <w:r w:rsidR="008B6DF3">
        <w:t>has acknowledged</w:t>
      </w:r>
      <w:r>
        <w:t xml:space="preserve"> that social determinants of health factors, such as education access, economic stability, community context and health care access, play a role in disparate outcomes within the United States health care system.  The Healthy People 2030 program defines </w:t>
      </w:r>
      <w:r w:rsidRPr="00E64032">
        <w:t xml:space="preserve">Social determinants of health (SDOH) </w:t>
      </w:r>
      <w:proofErr w:type="gramStart"/>
      <w:r>
        <w:t>as ,</w:t>
      </w:r>
      <w:proofErr w:type="gramEnd"/>
      <w:r>
        <w:t xml:space="preserve"> “</w:t>
      </w:r>
      <w:r w:rsidRPr="00E64032">
        <w:t>the conditions in the environments where people are born, live, learn, work, play, worship, and age that affect a wide range of health, functioning, and quality-of-life outcomes and risks</w:t>
      </w:r>
      <w:r>
        <w:t xml:space="preserve">.” </w:t>
      </w:r>
      <w:r w:rsidRPr="00E64032">
        <w:rPr>
          <w:b/>
          <w:bCs/>
        </w:rPr>
        <w:t>[</w:t>
      </w:r>
      <w:r w:rsidR="00FD7B47">
        <w:rPr>
          <w:b/>
          <w:bCs/>
        </w:rPr>
        <w:t>Figure 1</w:t>
      </w:r>
      <w:r w:rsidRPr="00E64032">
        <w:rPr>
          <w:b/>
          <w:bCs/>
        </w:rPr>
        <w:t>]</w:t>
      </w:r>
      <w:r w:rsidR="00FD7B47">
        <w:rPr>
          <w:b/>
          <w:bCs/>
        </w:rPr>
        <w:t xml:space="preserve"> [1]</w:t>
      </w:r>
      <w:r w:rsidR="007F08D1">
        <w:rPr>
          <w:b/>
          <w:bCs/>
        </w:rPr>
        <w:t xml:space="preserve">. </w:t>
      </w:r>
    </w:p>
    <w:p w14:paraId="66B2B964" w14:textId="0322F52D" w:rsidR="00F22EDD" w:rsidRDefault="008B6DF3">
      <w:r>
        <w:t>For our outcome of interest</w:t>
      </w:r>
      <w:r w:rsidR="00FD7B47">
        <w:t>,</w:t>
      </w:r>
      <w:r>
        <w:t xml:space="preserve"> we will use </w:t>
      </w:r>
      <w:r w:rsidR="00F22EDD">
        <w:t>a h</w:t>
      </w:r>
      <w:r>
        <w:t>ospital</w:t>
      </w:r>
      <w:r w:rsidR="00F22EDD">
        <w:t>’s Overall</w:t>
      </w:r>
      <w:r>
        <w:t xml:space="preserve"> Star Rating, </w:t>
      </w:r>
      <w:r w:rsidR="00F22EDD">
        <w:t>a value calculated by the Centers for Medicare and Medicaid Services (CMS) based on measures reported by hospitals.</w:t>
      </w:r>
    </w:p>
    <w:p w14:paraId="7AB35062" w14:textId="7535038F" w:rsidR="00990FB7" w:rsidRPr="00FD7B47" w:rsidRDefault="00F22EDD">
      <w:r>
        <w:t xml:space="preserve">The Overall Star Rating is </w:t>
      </w:r>
      <w:r w:rsidR="008B6DF3">
        <w:t xml:space="preserve">a </w:t>
      </w:r>
      <w:r w:rsidR="00B84945">
        <w:t>five-point</w:t>
      </w:r>
      <w:r w:rsidR="008B6DF3">
        <w:t xml:space="preserve"> scale based on a composite of measures</w:t>
      </w:r>
      <w:r w:rsidR="00FD7B47">
        <w:t>, including mortality, safety, readmission, patient experience, and timely &amp; effective care.</w:t>
      </w:r>
      <w:r w:rsidR="008B6DF3">
        <w:t xml:space="preserve"> </w:t>
      </w:r>
      <w:r w:rsidR="00FD7B47">
        <w:t xml:space="preserve"> </w:t>
      </w:r>
      <w:r>
        <w:t xml:space="preserve">The </w:t>
      </w:r>
      <w:r w:rsidR="00FD7B47">
        <w:t>Overall Star Rating us</w:t>
      </w:r>
      <w:r>
        <w:t>es</w:t>
      </w:r>
      <w:r w:rsidR="00FD7B47">
        <w:t xml:space="preserve"> a weighted average across measure groups. Given the breadth of measures, </w:t>
      </w:r>
      <w:r>
        <w:t xml:space="preserve">we chose to use </w:t>
      </w:r>
      <w:r w:rsidR="00FD7B47">
        <w:t xml:space="preserve">the Overall Star Rating as a proxy for quality of care received by patients </w:t>
      </w:r>
      <w:r w:rsidR="00FD7B47" w:rsidRPr="00F22EDD">
        <w:rPr>
          <w:b/>
          <w:bCs/>
        </w:rPr>
        <w:t>[Figure 2]</w:t>
      </w:r>
      <w:r w:rsidR="00FD7B47">
        <w:t xml:space="preserve">. </w:t>
      </w:r>
    </w:p>
    <w:p w14:paraId="0D8C2B9A" w14:textId="7B64840A" w:rsidR="00FD7B47" w:rsidRPr="00FD7B47" w:rsidRDefault="00990FB7" w:rsidP="00FD7B47">
      <w:pPr>
        <w:rPr>
          <w:rFonts w:ascii="Arial" w:eastAsia="Times New Roman" w:hAnsi="Arial" w:cs="Arial"/>
          <w:color w:val="323A45"/>
          <w:sz w:val="24"/>
          <w:szCs w:val="24"/>
        </w:rPr>
      </w:pPr>
      <w:r w:rsidRPr="00990FB7">
        <w:rPr>
          <w:rFonts w:ascii="Arial" w:eastAsia="Times New Roman" w:hAnsi="Arial" w:cs="Arial"/>
          <w:noProof/>
          <w:color w:val="323A45"/>
          <w:sz w:val="24"/>
          <w:szCs w:val="24"/>
        </w:rPr>
        <w:lastRenderedPageBreak/>
        <w:drawing>
          <wp:inline distT="0" distB="0" distL="0" distR="0" wp14:anchorId="4034736F" wp14:editId="70B5A2AF">
            <wp:extent cx="5705475" cy="3256876"/>
            <wp:effectExtent l="0" t="0" r="0" b="1270"/>
            <wp:docPr id="23" name="Picture 22" descr="Table&#10;&#10;Description automatically generated">
              <a:extLst xmlns:a="http://schemas.openxmlformats.org/drawingml/2006/main">
                <a:ext uri="{FF2B5EF4-FFF2-40B4-BE49-F238E27FC236}">
                  <a16:creationId xmlns:a16="http://schemas.microsoft.com/office/drawing/2014/main" id="{B4901CD9-4D04-F1C7-F686-2AC21F1DF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Table&#10;&#10;Description automatically generated">
                      <a:extLst>
                        <a:ext uri="{FF2B5EF4-FFF2-40B4-BE49-F238E27FC236}">
                          <a16:creationId xmlns:a16="http://schemas.microsoft.com/office/drawing/2014/main" id="{B4901CD9-4D04-F1C7-F686-2AC21F1DF622}"/>
                        </a:ext>
                      </a:extLst>
                    </pic:cNvPr>
                    <pic:cNvPicPr>
                      <a:picLocks noChangeAspect="1"/>
                    </pic:cNvPicPr>
                  </pic:nvPicPr>
                  <pic:blipFill>
                    <a:blip r:embed="rId8"/>
                    <a:stretch>
                      <a:fillRect/>
                    </a:stretch>
                  </pic:blipFill>
                  <pic:spPr>
                    <a:xfrm>
                      <a:off x="0" y="0"/>
                      <a:ext cx="5717113" cy="3263519"/>
                    </a:xfrm>
                    <a:prstGeom prst="rect">
                      <a:avLst/>
                    </a:prstGeom>
                  </pic:spPr>
                </pic:pic>
              </a:graphicData>
            </a:graphic>
          </wp:inline>
        </w:drawing>
      </w:r>
    </w:p>
    <w:p w14:paraId="7968839B" w14:textId="4B8135A7" w:rsidR="00084432" w:rsidRPr="00A34447" w:rsidRDefault="00F22EDD">
      <w:pPr>
        <w:rPr>
          <w:b/>
          <w:bCs/>
        </w:rPr>
      </w:pPr>
      <w:r>
        <w:t>In our project,</w:t>
      </w:r>
      <w:r w:rsidR="00FD7B47">
        <w:t xml:space="preserve"> </w:t>
      </w:r>
      <w:r>
        <w:t>w</w:t>
      </w:r>
      <w:r w:rsidR="00FD7B47">
        <w:t>e will prepare a multivariable model to predict hospital quality using hospital features such as census region, urban/rural location, percentage of non-white population, average education attainment, and median income.  We will explore various approaches and determine which model produce</w:t>
      </w:r>
      <w:r w:rsidR="00F2603F">
        <w:t>s the</w:t>
      </w:r>
      <w:r w:rsidR="00FD7B47">
        <w:t xml:space="preserve"> most accurate and interpretable results.</w:t>
      </w:r>
    </w:p>
    <w:tbl>
      <w:tblPr>
        <w:tblW w:w="8320" w:type="dxa"/>
        <w:tblLook w:val="04A0" w:firstRow="1" w:lastRow="0" w:firstColumn="1" w:lastColumn="0" w:noHBand="0" w:noVBand="1"/>
      </w:tblPr>
      <w:tblGrid>
        <w:gridCol w:w="1778"/>
        <w:gridCol w:w="6700"/>
      </w:tblGrid>
      <w:tr w:rsidR="00D930D5" w:rsidRPr="00A34447" w14:paraId="02260540" w14:textId="77777777" w:rsidTr="00D930D5">
        <w:trPr>
          <w:trHeight w:val="285"/>
        </w:trPr>
        <w:tc>
          <w:tcPr>
            <w:tcW w:w="1620" w:type="dxa"/>
            <w:tcBorders>
              <w:top w:val="nil"/>
              <w:left w:val="nil"/>
              <w:bottom w:val="nil"/>
              <w:right w:val="nil"/>
            </w:tcBorders>
            <w:shd w:val="clear" w:color="auto" w:fill="auto"/>
            <w:noWrap/>
            <w:vAlign w:val="bottom"/>
            <w:hideMark/>
          </w:tcPr>
          <w:p w14:paraId="7CA05291" w14:textId="77777777" w:rsidR="00D930D5" w:rsidRPr="00A34447" w:rsidRDefault="00D930D5" w:rsidP="00D930D5">
            <w:pPr>
              <w:spacing w:after="0" w:line="240" w:lineRule="auto"/>
              <w:rPr>
                <w:rFonts w:ascii="Calibri" w:eastAsia="Times New Roman" w:hAnsi="Calibri" w:cs="Calibri"/>
                <w:b/>
                <w:bCs/>
                <w:color w:val="000000"/>
              </w:rPr>
            </w:pPr>
            <w:r w:rsidRPr="00A34447">
              <w:rPr>
                <w:rFonts w:ascii="Calibri" w:eastAsia="Times New Roman" w:hAnsi="Calibri" w:cs="Calibri"/>
                <w:b/>
                <w:bCs/>
                <w:color w:val="000000"/>
              </w:rPr>
              <w:t>Measure ID</w:t>
            </w:r>
          </w:p>
        </w:tc>
        <w:tc>
          <w:tcPr>
            <w:tcW w:w="6700" w:type="dxa"/>
            <w:tcBorders>
              <w:top w:val="nil"/>
              <w:left w:val="nil"/>
              <w:bottom w:val="nil"/>
              <w:right w:val="nil"/>
            </w:tcBorders>
            <w:shd w:val="clear" w:color="auto" w:fill="auto"/>
            <w:noWrap/>
            <w:vAlign w:val="bottom"/>
            <w:hideMark/>
          </w:tcPr>
          <w:p w14:paraId="2D8C8062" w14:textId="77777777" w:rsidR="00D930D5" w:rsidRPr="00A34447" w:rsidRDefault="00D930D5" w:rsidP="00D930D5">
            <w:pPr>
              <w:spacing w:after="0" w:line="240" w:lineRule="auto"/>
              <w:rPr>
                <w:rFonts w:ascii="Calibri" w:eastAsia="Times New Roman" w:hAnsi="Calibri" w:cs="Calibri"/>
                <w:b/>
                <w:bCs/>
                <w:color w:val="000000"/>
              </w:rPr>
            </w:pPr>
            <w:r w:rsidRPr="00A34447">
              <w:rPr>
                <w:rFonts w:ascii="Calibri" w:eastAsia="Times New Roman" w:hAnsi="Calibri" w:cs="Calibri"/>
                <w:b/>
                <w:bCs/>
                <w:color w:val="000000"/>
              </w:rPr>
              <w:t>Measure Name</w:t>
            </w:r>
          </w:p>
        </w:tc>
      </w:tr>
      <w:tr w:rsidR="00D930D5" w:rsidRPr="00D930D5" w14:paraId="73BD3E71" w14:textId="77777777" w:rsidTr="00D930D5">
        <w:trPr>
          <w:trHeight w:val="285"/>
        </w:trPr>
        <w:tc>
          <w:tcPr>
            <w:tcW w:w="1620" w:type="dxa"/>
            <w:tcBorders>
              <w:top w:val="nil"/>
              <w:left w:val="nil"/>
              <w:bottom w:val="nil"/>
              <w:right w:val="nil"/>
            </w:tcBorders>
            <w:shd w:val="clear" w:color="auto" w:fill="auto"/>
            <w:noWrap/>
            <w:vAlign w:val="bottom"/>
            <w:hideMark/>
          </w:tcPr>
          <w:p w14:paraId="07A40CF8"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COMP_HIP_KNEE</w:t>
            </w:r>
          </w:p>
        </w:tc>
        <w:tc>
          <w:tcPr>
            <w:tcW w:w="6700" w:type="dxa"/>
            <w:tcBorders>
              <w:top w:val="nil"/>
              <w:left w:val="nil"/>
              <w:bottom w:val="nil"/>
              <w:right w:val="nil"/>
            </w:tcBorders>
            <w:shd w:val="clear" w:color="auto" w:fill="auto"/>
            <w:noWrap/>
            <w:vAlign w:val="bottom"/>
            <w:hideMark/>
          </w:tcPr>
          <w:p w14:paraId="3B9239B9"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Rate of complications for hip/knee replacement patients</w:t>
            </w:r>
          </w:p>
        </w:tc>
      </w:tr>
      <w:tr w:rsidR="00D930D5" w:rsidRPr="00D930D5" w14:paraId="4B26B7E3" w14:textId="77777777" w:rsidTr="00D930D5">
        <w:trPr>
          <w:trHeight w:val="285"/>
        </w:trPr>
        <w:tc>
          <w:tcPr>
            <w:tcW w:w="1620" w:type="dxa"/>
            <w:tcBorders>
              <w:top w:val="nil"/>
              <w:left w:val="nil"/>
              <w:bottom w:val="nil"/>
              <w:right w:val="nil"/>
            </w:tcBorders>
            <w:shd w:val="clear" w:color="auto" w:fill="auto"/>
            <w:noWrap/>
            <w:vAlign w:val="bottom"/>
            <w:hideMark/>
          </w:tcPr>
          <w:p w14:paraId="3E117A93"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MORT_30_AMI</w:t>
            </w:r>
          </w:p>
        </w:tc>
        <w:tc>
          <w:tcPr>
            <w:tcW w:w="6700" w:type="dxa"/>
            <w:tcBorders>
              <w:top w:val="nil"/>
              <w:left w:val="nil"/>
              <w:bottom w:val="nil"/>
              <w:right w:val="nil"/>
            </w:tcBorders>
            <w:shd w:val="clear" w:color="auto" w:fill="auto"/>
            <w:noWrap/>
            <w:vAlign w:val="bottom"/>
            <w:hideMark/>
          </w:tcPr>
          <w:p w14:paraId="3F982741"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for heart attack patients</w:t>
            </w:r>
          </w:p>
        </w:tc>
      </w:tr>
      <w:tr w:rsidR="00D930D5" w:rsidRPr="00D930D5" w14:paraId="7A6D7B46" w14:textId="77777777" w:rsidTr="00D930D5">
        <w:trPr>
          <w:trHeight w:val="285"/>
        </w:trPr>
        <w:tc>
          <w:tcPr>
            <w:tcW w:w="1620" w:type="dxa"/>
            <w:tcBorders>
              <w:top w:val="nil"/>
              <w:left w:val="nil"/>
              <w:bottom w:val="nil"/>
              <w:right w:val="nil"/>
            </w:tcBorders>
            <w:shd w:val="clear" w:color="auto" w:fill="auto"/>
            <w:noWrap/>
            <w:vAlign w:val="bottom"/>
            <w:hideMark/>
          </w:tcPr>
          <w:p w14:paraId="2769600D"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MORT_30_CABG</w:t>
            </w:r>
          </w:p>
        </w:tc>
        <w:tc>
          <w:tcPr>
            <w:tcW w:w="6700" w:type="dxa"/>
            <w:tcBorders>
              <w:top w:val="nil"/>
              <w:left w:val="nil"/>
              <w:bottom w:val="nil"/>
              <w:right w:val="nil"/>
            </w:tcBorders>
            <w:shd w:val="clear" w:color="auto" w:fill="auto"/>
            <w:noWrap/>
            <w:vAlign w:val="bottom"/>
            <w:hideMark/>
          </w:tcPr>
          <w:p w14:paraId="10968B5F"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for CABG surgery patients</w:t>
            </w:r>
          </w:p>
        </w:tc>
      </w:tr>
      <w:tr w:rsidR="00D930D5" w:rsidRPr="00D930D5" w14:paraId="2C762F8A" w14:textId="77777777" w:rsidTr="00D930D5">
        <w:trPr>
          <w:trHeight w:val="285"/>
        </w:trPr>
        <w:tc>
          <w:tcPr>
            <w:tcW w:w="1620" w:type="dxa"/>
            <w:tcBorders>
              <w:top w:val="nil"/>
              <w:left w:val="nil"/>
              <w:bottom w:val="nil"/>
              <w:right w:val="nil"/>
            </w:tcBorders>
            <w:shd w:val="clear" w:color="auto" w:fill="auto"/>
            <w:noWrap/>
            <w:vAlign w:val="bottom"/>
            <w:hideMark/>
          </w:tcPr>
          <w:p w14:paraId="551F1C5F"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MORT_30_COPD</w:t>
            </w:r>
          </w:p>
        </w:tc>
        <w:tc>
          <w:tcPr>
            <w:tcW w:w="6700" w:type="dxa"/>
            <w:tcBorders>
              <w:top w:val="nil"/>
              <w:left w:val="nil"/>
              <w:bottom w:val="nil"/>
              <w:right w:val="nil"/>
            </w:tcBorders>
            <w:shd w:val="clear" w:color="auto" w:fill="auto"/>
            <w:noWrap/>
            <w:vAlign w:val="bottom"/>
            <w:hideMark/>
          </w:tcPr>
          <w:p w14:paraId="259050BD"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for COPD patients</w:t>
            </w:r>
          </w:p>
        </w:tc>
      </w:tr>
      <w:tr w:rsidR="00D930D5" w:rsidRPr="00D930D5" w14:paraId="36AE3706" w14:textId="77777777" w:rsidTr="00D930D5">
        <w:trPr>
          <w:trHeight w:val="285"/>
        </w:trPr>
        <w:tc>
          <w:tcPr>
            <w:tcW w:w="1620" w:type="dxa"/>
            <w:tcBorders>
              <w:top w:val="nil"/>
              <w:left w:val="nil"/>
              <w:bottom w:val="nil"/>
              <w:right w:val="nil"/>
            </w:tcBorders>
            <w:shd w:val="clear" w:color="auto" w:fill="auto"/>
            <w:noWrap/>
            <w:vAlign w:val="bottom"/>
            <w:hideMark/>
          </w:tcPr>
          <w:p w14:paraId="4D0A828B"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MORT_30_HF</w:t>
            </w:r>
          </w:p>
        </w:tc>
        <w:tc>
          <w:tcPr>
            <w:tcW w:w="6700" w:type="dxa"/>
            <w:tcBorders>
              <w:top w:val="nil"/>
              <w:left w:val="nil"/>
              <w:bottom w:val="nil"/>
              <w:right w:val="nil"/>
            </w:tcBorders>
            <w:shd w:val="clear" w:color="auto" w:fill="auto"/>
            <w:noWrap/>
            <w:vAlign w:val="bottom"/>
            <w:hideMark/>
          </w:tcPr>
          <w:p w14:paraId="273EFE4A"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for heart failure patients</w:t>
            </w:r>
          </w:p>
        </w:tc>
      </w:tr>
      <w:tr w:rsidR="00D930D5" w:rsidRPr="00D930D5" w14:paraId="56011606" w14:textId="77777777" w:rsidTr="00D930D5">
        <w:trPr>
          <w:trHeight w:val="285"/>
        </w:trPr>
        <w:tc>
          <w:tcPr>
            <w:tcW w:w="1620" w:type="dxa"/>
            <w:tcBorders>
              <w:top w:val="nil"/>
              <w:left w:val="nil"/>
              <w:bottom w:val="nil"/>
              <w:right w:val="nil"/>
            </w:tcBorders>
            <w:shd w:val="clear" w:color="auto" w:fill="auto"/>
            <w:noWrap/>
            <w:vAlign w:val="bottom"/>
            <w:hideMark/>
          </w:tcPr>
          <w:p w14:paraId="5481A85C"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MORT_30_PN</w:t>
            </w:r>
          </w:p>
        </w:tc>
        <w:tc>
          <w:tcPr>
            <w:tcW w:w="6700" w:type="dxa"/>
            <w:tcBorders>
              <w:top w:val="nil"/>
              <w:left w:val="nil"/>
              <w:bottom w:val="nil"/>
              <w:right w:val="nil"/>
            </w:tcBorders>
            <w:shd w:val="clear" w:color="auto" w:fill="auto"/>
            <w:noWrap/>
            <w:vAlign w:val="bottom"/>
            <w:hideMark/>
          </w:tcPr>
          <w:p w14:paraId="0D24C0B2"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for pneumonia patients</w:t>
            </w:r>
          </w:p>
        </w:tc>
      </w:tr>
      <w:tr w:rsidR="00D930D5" w:rsidRPr="00D930D5" w14:paraId="55BCB0EE" w14:textId="77777777" w:rsidTr="00D930D5">
        <w:trPr>
          <w:trHeight w:val="285"/>
        </w:trPr>
        <w:tc>
          <w:tcPr>
            <w:tcW w:w="1620" w:type="dxa"/>
            <w:tcBorders>
              <w:top w:val="nil"/>
              <w:left w:val="nil"/>
              <w:bottom w:val="nil"/>
              <w:right w:val="nil"/>
            </w:tcBorders>
            <w:shd w:val="clear" w:color="auto" w:fill="auto"/>
            <w:noWrap/>
            <w:vAlign w:val="bottom"/>
            <w:hideMark/>
          </w:tcPr>
          <w:p w14:paraId="02B6C837"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MORT_30_STK</w:t>
            </w:r>
          </w:p>
        </w:tc>
        <w:tc>
          <w:tcPr>
            <w:tcW w:w="6700" w:type="dxa"/>
            <w:tcBorders>
              <w:top w:val="nil"/>
              <w:left w:val="nil"/>
              <w:bottom w:val="nil"/>
              <w:right w:val="nil"/>
            </w:tcBorders>
            <w:shd w:val="clear" w:color="auto" w:fill="auto"/>
            <w:noWrap/>
            <w:vAlign w:val="bottom"/>
            <w:hideMark/>
          </w:tcPr>
          <w:p w14:paraId="392B85E7"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for stroke patients</w:t>
            </w:r>
          </w:p>
        </w:tc>
      </w:tr>
      <w:tr w:rsidR="00D930D5" w:rsidRPr="00D930D5" w14:paraId="35401358" w14:textId="77777777" w:rsidTr="00D930D5">
        <w:trPr>
          <w:trHeight w:val="285"/>
        </w:trPr>
        <w:tc>
          <w:tcPr>
            <w:tcW w:w="1620" w:type="dxa"/>
            <w:tcBorders>
              <w:top w:val="nil"/>
              <w:left w:val="nil"/>
              <w:bottom w:val="nil"/>
              <w:right w:val="nil"/>
            </w:tcBorders>
            <w:shd w:val="clear" w:color="auto" w:fill="auto"/>
            <w:noWrap/>
            <w:vAlign w:val="bottom"/>
            <w:hideMark/>
          </w:tcPr>
          <w:p w14:paraId="42DC8C47"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PSI_03</w:t>
            </w:r>
          </w:p>
        </w:tc>
        <w:tc>
          <w:tcPr>
            <w:tcW w:w="6700" w:type="dxa"/>
            <w:tcBorders>
              <w:top w:val="nil"/>
              <w:left w:val="nil"/>
              <w:bottom w:val="nil"/>
              <w:right w:val="nil"/>
            </w:tcBorders>
            <w:shd w:val="clear" w:color="auto" w:fill="auto"/>
            <w:noWrap/>
            <w:vAlign w:val="bottom"/>
            <w:hideMark/>
          </w:tcPr>
          <w:p w14:paraId="21FE5643"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Pressure ulcer rate</w:t>
            </w:r>
          </w:p>
        </w:tc>
      </w:tr>
      <w:tr w:rsidR="00D930D5" w:rsidRPr="00D930D5" w14:paraId="4205CE6D" w14:textId="77777777" w:rsidTr="00D930D5">
        <w:trPr>
          <w:trHeight w:val="285"/>
        </w:trPr>
        <w:tc>
          <w:tcPr>
            <w:tcW w:w="1620" w:type="dxa"/>
            <w:tcBorders>
              <w:top w:val="nil"/>
              <w:left w:val="nil"/>
              <w:bottom w:val="nil"/>
              <w:right w:val="nil"/>
            </w:tcBorders>
            <w:shd w:val="clear" w:color="auto" w:fill="auto"/>
            <w:noWrap/>
            <w:vAlign w:val="bottom"/>
            <w:hideMark/>
          </w:tcPr>
          <w:p w14:paraId="7632E9FC"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PSI_04</w:t>
            </w:r>
          </w:p>
        </w:tc>
        <w:tc>
          <w:tcPr>
            <w:tcW w:w="6700" w:type="dxa"/>
            <w:tcBorders>
              <w:top w:val="nil"/>
              <w:left w:val="nil"/>
              <w:bottom w:val="nil"/>
              <w:right w:val="nil"/>
            </w:tcBorders>
            <w:shd w:val="clear" w:color="auto" w:fill="auto"/>
            <w:noWrap/>
            <w:vAlign w:val="bottom"/>
            <w:hideMark/>
          </w:tcPr>
          <w:p w14:paraId="1A4772A4"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Death rate among surgical inpatients with serious treatable complications</w:t>
            </w:r>
          </w:p>
        </w:tc>
      </w:tr>
      <w:tr w:rsidR="00D930D5" w:rsidRPr="00D930D5" w14:paraId="3601706F" w14:textId="77777777" w:rsidTr="00D930D5">
        <w:trPr>
          <w:trHeight w:val="285"/>
        </w:trPr>
        <w:tc>
          <w:tcPr>
            <w:tcW w:w="1620" w:type="dxa"/>
            <w:tcBorders>
              <w:top w:val="nil"/>
              <w:left w:val="nil"/>
              <w:bottom w:val="nil"/>
              <w:right w:val="nil"/>
            </w:tcBorders>
            <w:shd w:val="clear" w:color="auto" w:fill="auto"/>
            <w:noWrap/>
            <w:vAlign w:val="bottom"/>
            <w:hideMark/>
          </w:tcPr>
          <w:p w14:paraId="73CD050F"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PSI_06</w:t>
            </w:r>
          </w:p>
        </w:tc>
        <w:tc>
          <w:tcPr>
            <w:tcW w:w="6700" w:type="dxa"/>
            <w:tcBorders>
              <w:top w:val="nil"/>
              <w:left w:val="nil"/>
              <w:bottom w:val="nil"/>
              <w:right w:val="nil"/>
            </w:tcBorders>
            <w:shd w:val="clear" w:color="auto" w:fill="auto"/>
            <w:noWrap/>
            <w:vAlign w:val="bottom"/>
            <w:hideMark/>
          </w:tcPr>
          <w:p w14:paraId="1B480C02"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Iatrogenic pneumothorax rate</w:t>
            </w:r>
          </w:p>
        </w:tc>
      </w:tr>
      <w:tr w:rsidR="00D930D5" w:rsidRPr="00D930D5" w14:paraId="5D953F70" w14:textId="77777777" w:rsidTr="00D930D5">
        <w:trPr>
          <w:trHeight w:val="285"/>
        </w:trPr>
        <w:tc>
          <w:tcPr>
            <w:tcW w:w="1620" w:type="dxa"/>
            <w:tcBorders>
              <w:top w:val="nil"/>
              <w:left w:val="nil"/>
              <w:bottom w:val="nil"/>
              <w:right w:val="nil"/>
            </w:tcBorders>
            <w:shd w:val="clear" w:color="auto" w:fill="auto"/>
            <w:noWrap/>
            <w:vAlign w:val="bottom"/>
            <w:hideMark/>
          </w:tcPr>
          <w:p w14:paraId="704325A4"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PSI_08</w:t>
            </w:r>
          </w:p>
        </w:tc>
        <w:tc>
          <w:tcPr>
            <w:tcW w:w="6700" w:type="dxa"/>
            <w:tcBorders>
              <w:top w:val="nil"/>
              <w:left w:val="nil"/>
              <w:bottom w:val="nil"/>
              <w:right w:val="nil"/>
            </w:tcBorders>
            <w:shd w:val="clear" w:color="auto" w:fill="auto"/>
            <w:noWrap/>
            <w:vAlign w:val="bottom"/>
            <w:hideMark/>
          </w:tcPr>
          <w:p w14:paraId="5B08042E"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In-hospital fall with hip fracture rate</w:t>
            </w:r>
          </w:p>
        </w:tc>
      </w:tr>
      <w:tr w:rsidR="00D930D5" w:rsidRPr="00D930D5" w14:paraId="3712433B" w14:textId="77777777" w:rsidTr="00D930D5">
        <w:trPr>
          <w:trHeight w:val="285"/>
        </w:trPr>
        <w:tc>
          <w:tcPr>
            <w:tcW w:w="1620" w:type="dxa"/>
            <w:tcBorders>
              <w:top w:val="nil"/>
              <w:left w:val="nil"/>
              <w:bottom w:val="nil"/>
              <w:right w:val="nil"/>
            </w:tcBorders>
            <w:shd w:val="clear" w:color="auto" w:fill="auto"/>
            <w:noWrap/>
            <w:vAlign w:val="bottom"/>
            <w:hideMark/>
          </w:tcPr>
          <w:p w14:paraId="41AF86A7"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PSI_09</w:t>
            </w:r>
          </w:p>
        </w:tc>
        <w:tc>
          <w:tcPr>
            <w:tcW w:w="6700" w:type="dxa"/>
            <w:tcBorders>
              <w:top w:val="nil"/>
              <w:left w:val="nil"/>
              <w:bottom w:val="nil"/>
              <w:right w:val="nil"/>
            </w:tcBorders>
            <w:shd w:val="clear" w:color="auto" w:fill="auto"/>
            <w:noWrap/>
            <w:vAlign w:val="bottom"/>
            <w:hideMark/>
          </w:tcPr>
          <w:p w14:paraId="05CD7BC7"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Postoperative hemorrhage or hematoma rate</w:t>
            </w:r>
          </w:p>
        </w:tc>
      </w:tr>
      <w:tr w:rsidR="00D930D5" w:rsidRPr="00D930D5" w14:paraId="59A9A295" w14:textId="77777777" w:rsidTr="00D930D5">
        <w:trPr>
          <w:trHeight w:val="285"/>
        </w:trPr>
        <w:tc>
          <w:tcPr>
            <w:tcW w:w="1620" w:type="dxa"/>
            <w:tcBorders>
              <w:top w:val="nil"/>
              <w:left w:val="nil"/>
              <w:bottom w:val="nil"/>
              <w:right w:val="nil"/>
            </w:tcBorders>
            <w:shd w:val="clear" w:color="auto" w:fill="auto"/>
            <w:noWrap/>
            <w:vAlign w:val="bottom"/>
            <w:hideMark/>
          </w:tcPr>
          <w:p w14:paraId="52AA0247"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PSI_10</w:t>
            </w:r>
          </w:p>
        </w:tc>
        <w:tc>
          <w:tcPr>
            <w:tcW w:w="6700" w:type="dxa"/>
            <w:tcBorders>
              <w:top w:val="nil"/>
              <w:left w:val="nil"/>
              <w:bottom w:val="nil"/>
              <w:right w:val="nil"/>
            </w:tcBorders>
            <w:shd w:val="clear" w:color="auto" w:fill="auto"/>
            <w:noWrap/>
            <w:vAlign w:val="bottom"/>
            <w:hideMark/>
          </w:tcPr>
          <w:p w14:paraId="5F264172"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Postoperative acute kidney injury requiring dialysis rate</w:t>
            </w:r>
          </w:p>
        </w:tc>
      </w:tr>
      <w:tr w:rsidR="00D930D5" w:rsidRPr="00D930D5" w14:paraId="08781D4C" w14:textId="77777777" w:rsidTr="00D930D5">
        <w:trPr>
          <w:trHeight w:val="285"/>
        </w:trPr>
        <w:tc>
          <w:tcPr>
            <w:tcW w:w="1620" w:type="dxa"/>
            <w:tcBorders>
              <w:top w:val="nil"/>
              <w:left w:val="nil"/>
              <w:bottom w:val="nil"/>
              <w:right w:val="nil"/>
            </w:tcBorders>
            <w:shd w:val="clear" w:color="auto" w:fill="auto"/>
            <w:noWrap/>
            <w:vAlign w:val="bottom"/>
            <w:hideMark/>
          </w:tcPr>
          <w:p w14:paraId="5BCF04BF"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PSI_11</w:t>
            </w:r>
          </w:p>
        </w:tc>
        <w:tc>
          <w:tcPr>
            <w:tcW w:w="6700" w:type="dxa"/>
            <w:tcBorders>
              <w:top w:val="nil"/>
              <w:left w:val="nil"/>
              <w:bottom w:val="nil"/>
              <w:right w:val="nil"/>
            </w:tcBorders>
            <w:shd w:val="clear" w:color="auto" w:fill="auto"/>
            <w:noWrap/>
            <w:vAlign w:val="bottom"/>
            <w:hideMark/>
          </w:tcPr>
          <w:p w14:paraId="2FF5EC54"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Postoperative respiratory failure rate</w:t>
            </w:r>
          </w:p>
        </w:tc>
      </w:tr>
      <w:tr w:rsidR="00D930D5" w:rsidRPr="00D930D5" w14:paraId="1F4338A0" w14:textId="77777777" w:rsidTr="00D930D5">
        <w:trPr>
          <w:trHeight w:val="285"/>
        </w:trPr>
        <w:tc>
          <w:tcPr>
            <w:tcW w:w="1620" w:type="dxa"/>
            <w:tcBorders>
              <w:top w:val="nil"/>
              <w:left w:val="nil"/>
              <w:bottom w:val="nil"/>
              <w:right w:val="nil"/>
            </w:tcBorders>
            <w:shd w:val="clear" w:color="auto" w:fill="auto"/>
            <w:noWrap/>
            <w:vAlign w:val="bottom"/>
            <w:hideMark/>
          </w:tcPr>
          <w:p w14:paraId="0308AABB"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PSI_12</w:t>
            </w:r>
          </w:p>
        </w:tc>
        <w:tc>
          <w:tcPr>
            <w:tcW w:w="6700" w:type="dxa"/>
            <w:tcBorders>
              <w:top w:val="nil"/>
              <w:left w:val="nil"/>
              <w:bottom w:val="nil"/>
              <w:right w:val="nil"/>
            </w:tcBorders>
            <w:shd w:val="clear" w:color="auto" w:fill="auto"/>
            <w:noWrap/>
            <w:vAlign w:val="bottom"/>
            <w:hideMark/>
          </w:tcPr>
          <w:p w14:paraId="7E8A6B4C"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Perioperative pulmonary embolism or deep vein thrombosis rate</w:t>
            </w:r>
          </w:p>
        </w:tc>
      </w:tr>
      <w:tr w:rsidR="00D930D5" w:rsidRPr="00D930D5" w14:paraId="4E066A85" w14:textId="77777777" w:rsidTr="00D930D5">
        <w:trPr>
          <w:trHeight w:val="285"/>
        </w:trPr>
        <w:tc>
          <w:tcPr>
            <w:tcW w:w="1620" w:type="dxa"/>
            <w:tcBorders>
              <w:top w:val="nil"/>
              <w:left w:val="nil"/>
              <w:bottom w:val="nil"/>
              <w:right w:val="nil"/>
            </w:tcBorders>
            <w:shd w:val="clear" w:color="auto" w:fill="auto"/>
            <w:noWrap/>
            <w:vAlign w:val="bottom"/>
            <w:hideMark/>
          </w:tcPr>
          <w:p w14:paraId="70E01FD3"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PSI_13</w:t>
            </w:r>
          </w:p>
        </w:tc>
        <w:tc>
          <w:tcPr>
            <w:tcW w:w="6700" w:type="dxa"/>
            <w:tcBorders>
              <w:top w:val="nil"/>
              <w:left w:val="nil"/>
              <w:bottom w:val="nil"/>
              <w:right w:val="nil"/>
            </w:tcBorders>
            <w:shd w:val="clear" w:color="auto" w:fill="auto"/>
            <w:noWrap/>
            <w:vAlign w:val="bottom"/>
            <w:hideMark/>
          </w:tcPr>
          <w:p w14:paraId="6131C95A"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Postoperative sepsis rate</w:t>
            </w:r>
          </w:p>
        </w:tc>
      </w:tr>
      <w:tr w:rsidR="00D930D5" w:rsidRPr="00D930D5" w14:paraId="4559B5D4" w14:textId="77777777" w:rsidTr="00D930D5">
        <w:trPr>
          <w:trHeight w:val="285"/>
        </w:trPr>
        <w:tc>
          <w:tcPr>
            <w:tcW w:w="1620" w:type="dxa"/>
            <w:tcBorders>
              <w:top w:val="nil"/>
              <w:left w:val="nil"/>
              <w:bottom w:val="nil"/>
              <w:right w:val="nil"/>
            </w:tcBorders>
            <w:shd w:val="clear" w:color="auto" w:fill="auto"/>
            <w:noWrap/>
            <w:vAlign w:val="bottom"/>
            <w:hideMark/>
          </w:tcPr>
          <w:p w14:paraId="67314E93"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PSI_14</w:t>
            </w:r>
          </w:p>
        </w:tc>
        <w:tc>
          <w:tcPr>
            <w:tcW w:w="6700" w:type="dxa"/>
            <w:tcBorders>
              <w:top w:val="nil"/>
              <w:left w:val="nil"/>
              <w:bottom w:val="nil"/>
              <w:right w:val="nil"/>
            </w:tcBorders>
            <w:shd w:val="clear" w:color="auto" w:fill="auto"/>
            <w:noWrap/>
            <w:vAlign w:val="bottom"/>
            <w:hideMark/>
          </w:tcPr>
          <w:p w14:paraId="69A04A92"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Postoperative wound dehiscence rate</w:t>
            </w:r>
          </w:p>
        </w:tc>
      </w:tr>
      <w:tr w:rsidR="00D930D5" w:rsidRPr="00D930D5" w14:paraId="57346784" w14:textId="77777777" w:rsidTr="00D930D5">
        <w:trPr>
          <w:trHeight w:val="285"/>
        </w:trPr>
        <w:tc>
          <w:tcPr>
            <w:tcW w:w="1620" w:type="dxa"/>
            <w:tcBorders>
              <w:top w:val="nil"/>
              <w:left w:val="nil"/>
              <w:bottom w:val="nil"/>
              <w:right w:val="nil"/>
            </w:tcBorders>
            <w:shd w:val="clear" w:color="auto" w:fill="auto"/>
            <w:noWrap/>
            <w:vAlign w:val="bottom"/>
            <w:hideMark/>
          </w:tcPr>
          <w:p w14:paraId="1DA16A59"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PSI_15</w:t>
            </w:r>
          </w:p>
        </w:tc>
        <w:tc>
          <w:tcPr>
            <w:tcW w:w="6700" w:type="dxa"/>
            <w:tcBorders>
              <w:top w:val="nil"/>
              <w:left w:val="nil"/>
              <w:bottom w:val="nil"/>
              <w:right w:val="nil"/>
            </w:tcBorders>
            <w:shd w:val="clear" w:color="auto" w:fill="auto"/>
            <w:noWrap/>
            <w:vAlign w:val="bottom"/>
            <w:hideMark/>
          </w:tcPr>
          <w:p w14:paraId="54799420"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Abdominopelvic accidental puncture or laceration rate</w:t>
            </w:r>
          </w:p>
        </w:tc>
      </w:tr>
      <w:tr w:rsidR="00D930D5" w:rsidRPr="00D930D5" w14:paraId="27ED1DA7" w14:textId="77777777" w:rsidTr="00D930D5">
        <w:trPr>
          <w:trHeight w:val="285"/>
        </w:trPr>
        <w:tc>
          <w:tcPr>
            <w:tcW w:w="1620" w:type="dxa"/>
            <w:tcBorders>
              <w:top w:val="nil"/>
              <w:left w:val="nil"/>
              <w:bottom w:val="nil"/>
              <w:right w:val="nil"/>
            </w:tcBorders>
            <w:shd w:val="clear" w:color="auto" w:fill="auto"/>
            <w:noWrap/>
            <w:vAlign w:val="bottom"/>
            <w:hideMark/>
          </w:tcPr>
          <w:p w14:paraId="10740F45"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PSI_90</w:t>
            </w:r>
          </w:p>
        </w:tc>
        <w:tc>
          <w:tcPr>
            <w:tcW w:w="6700" w:type="dxa"/>
            <w:tcBorders>
              <w:top w:val="nil"/>
              <w:left w:val="nil"/>
              <w:bottom w:val="nil"/>
              <w:right w:val="nil"/>
            </w:tcBorders>
            <w:shd w:val="clear" w:color="auto" w:fill="auto"/>
            <w:noWrap/>
            <w:vAlign w:val="bottom"/>
            <w:hideMark/>
          </w:tcPr>
          <w:p w14:paraId="4F7A7526" w14:textId="77777777" w:rsidR="00D930D5" w:rsidRPr="00D930D5" w:rsidRDefault="00D930D5" w:rsidP="00D930D5">
            <w:pPr>
              <w:spacing w:after="0" w:line="240" w:lineRule="auto"/>
              <w:rPr>
                <w:rFonts w:ascii="Calibri" w:eastAsia="Times New Roman" w:hAnsi="Calibri" w:cs="Calibri"/>
                <w:color w:val="000000"/>
              </w:rPr>
            </w:pPr>
            <w:r w:rsidRPr="00D930D5">
              <w:rPr>
                <w:rFonts w:ascii="Calibri" w:eastAsia="Times New Roman" w:hAnsi="Calibri" w:cs="Calibri"/>
                <w:color w:val="000000"/>
              </w:rPr>
              <w:t>CMS Medicare PSI 90: Patient safety and adverse events composite</w:t>
            </w:r>
          </w:p>
        </w:tc>
      </w:tr>
    </w:tbl>
    <w:p w14:paraId="4E490ED0" w14:textId="5A780093" w:rsidR="00563E8A" w:rsidRDefault="00563E8A"/>
    <w:p w14:paraId="48BAE2F7" w14:textId="77777777" w:rsidR="00D930D5" w:rsidRPr="00563E8A" w:rsidRDefault="00D930D5"/>
    <w:p w14:paraId="67DC49A1" w14:textId="21FCC6EF" w:rsidR="00E249C0" w:rsidRPr="00FD7B47" w:rsidRDefault="00E249C0">
      <w:pPr>
        <w:rPr>
          <w:b/>
          <w:bCs/>
          <w:sz w:val="24"/>
          <w:szCs w:val="24"/>
        </w:rPr>
      </w:pPr>
      <w:r w:rsidRPr="00FD7B47">
        <w:rPr>
          <w:b/>
          <w:bCs/>
          <w:sz w:val="24"/>
          <w:szCs w:val="24"/>
        </w:rPr>
        <w:t>Data Sources and Descriptions:</w:t>
      </w:r>
    </w:p>
    <w:p w14:paraId="2A28262E" w14:textId="4D8D2AF6" w:rsidR="008155ED" w:rsidRPr="00AD2E38" w:rsidRDefault="00261C7B">
      <w:r w:rsidRPr="00261C7B">
        <w:rPr>
          <w:b/>
          <w:bCs/>
        </w:rPr>
        <w:t>CMS Hospital Quality Data Set:</w:t>
      </w:r>
      <w:r w:rsidR="006974A2">
        <w:rPr>
          <w:b/>
          <w:bCs/>
        </w:rPr>
        <w:t xml:space="preserve"> </w:t>
      </w:r>
      <w:r w:rsidR="00AD2E38">
        <w:t xml:space="preserve"> </w:t>
      </w:r>
      <w:r w:rsidR="008155ED">
        <w:t xml:space="preserve">The </w:t>
      </w:r>
      <w:r w:rsidR="008155ED" w:rsidRPr="006974A2">
        <w:t>Centers for Medicare &amp; Medicaid Services (CMS)</w:t>
      </w:r>
      <w:r w:rsidR="008155ED">
        <w:t xml:space="preserve"> </w:t>
      </w:r>
      <w:r w:rsidR="00245DE9">
        <w:t>manage</w:t>
      </w:r>
      <w:r w:rsidR="00AD2E38">
        <w:t>s</w:t>
      </w:r>
      <w:r w:rsidR="00245DE9">
        <w:t xml:space="preserve"> a program of quality metric reporting where hospitals submit standardized metrics pertaining to hospital quality</w:t>
      </w:r>
      <w:r w:rsidR="008155ED">
        <w:t xml:space="preserve">.   CMS uses these datasets as part of its quality management and </w:t>
      </w:r>
      <w:r w:rsidR="00223A78">
        <w:t>payment programs and publicizes the data sets to create transparency around health care quality within the United States</w:t>
      </w:r>
      <w:r w:rsidR="00AD2E38">
        <w:t>:</w:t>
      </w:r>
      <w:r w:rsidR="00223A78">
        <w:t xml:space="preserve">  </w:t>
      </w:r>
    </w:p>
    <w:p w14:paraId="578D4166" w14:textId="34887569" w:rsidR="00261C7B" w:rsidRDefault="006974A2">
      <w:r w:rsidRPr="006974A2">
        <w:rPr>
          <w:b/>
          <w:bCs/>
        </w:rPr>
        <w:t>Overview:</w:t>
      </w:r>
      <w:r>
        <w:t xml:space="preserve"> </w:t>
      </w:r>
      <w:hyperlink r:id="rId9" w:history="1">
        <w:r w:rsidRPr="00287B60">
          <w:rPr>
            <w:rStyle w:val="Hyperlink"/>
          </w:rPr>
          <w:t>https://data.cms.gov/provider-data/topics/hospitals</w:t>
        </w:r>
      </w:hyperlink>
      <w:r>
        <w:t xml:space="preserve"> </w:t>
      </w:r>
    </w:p>
    <w:p w14:paraId="7B58883C" w14:textId="77777777" w:rsidR="006974A2" w:rsidRDefault="006974A2" w:rsidP="006974A2">
      <w:r w:rsidRPr="006974A2">
        <w:rPr>
          <w:b/>
          <w:bCs/>
        </w:rPr>
        <w:t>Data Dictionary and Data Download:</w:t>
      </w:r>
      <w:r>
        <w:t xml:space="preserve">  </w:t>
      </w:r>
      <w:hyperlink r:id="rId10" w:history="1">
        <w:r>
          <w:rPr>
            <w:rStyle w:val="Hyperlink"/>
          </w:rPr>
          <w:t>Hospitals | Provider Data Catalog (cms.gov)</w:t>
        </w:r>
      </w:hyperlink>
    </w:p>
    <w:p w14:paraId="19BD0C0D" w14:textId="665416D1" w:rsidR="00AD2E38" w:rsidRDefault="00F2603F" w:rsidP="006974A2">
      <w:pPr>
        <w:rPr>
          <w:rStyle w:val="Hyperlink"/>
        </w:rPr>
      </w:pPr>
      <w:r w:rsidRPr="00F2603F">
        <w:rPr>
          <w:b/>
          <w:bCs/>
        </w:rPr>
        <w:t xml:space="preserve">Background on Overall Star Rating calculation: </w:t>
      </w:r>
      <w:r w:rsidR="00EE0852">
        <w:rPr>
          <w:b/>
          <w:bCs/>
        </w:rPr>
        <w:t xml:space="preserve"> </w:t>
      </w:r>
      <w:hyperlink r:id="rId11" w:history="1">
        <w:r w:rsidR="00AD2E38" w:rsidRPr="008F1E47">
          <w:rPr>
            <w:rStyle w:val="Hyperlink"/>
          </w:rPr>
          <w:t>https://data.cms.gov/provider-data/topics/hospitals/overall-hospital-quality-star-rating/</w:t>
        </w:r>
      </w:hyperlink>
    </w:p>
    <w:p w14:paraId="4A379E08" w14:textId="77777777" w:rsidR="0031236E" w:rsidRDefault="0031236E" w:rsidP="0031236E">
      <w:pPr>
        <w:rPr>
          <w:b/>
          <w:bCs/>
        </w:rPr>
      </w:pPr>
      <w:r w:rsidRPr="00F2603F">
        <w:rPr>
          <w:b/>
          <w:bCs/>
        </w:rPr>
        <w:t xml:space="preserve">Background on </w:t>
      </w:r>
      <w:r>
        <w:rPr>
          <w:b/>
          <w:bCs/>
        </w:rPr>
        <w:t>Hospital Quality and Death Measures</w:t>
      </w:r>
      <w:r w:rsidRPr="00F2603F">
        <w:rPr>
          <w:b/>
          <w:bCs/>
        </w:rPr>
        <w:t xml:space="preserve">: </w:t>
      </w:r>
      <w:r>
        <w:rPr>
          <w:b/>
          <w:bCs/>
        </w:rPr>
        <w:t xml:space="preserve"> </w:t>
      </w:r>
    </w:p>
    <w:p w14:paraId="4752F028" w14:textId="5C54CFF6" w:rsidR="005E3CCA" w:rsidRPr="00D930D5" w:rsidRDefault="00CD7290" w:rsidP="00FD7B47">
      <w:r>
        <w:t xml:space="preserve"> &lt;Insert</w:t>
      </w:r>
      <w:r w:rsidR="00EE0852" w:rsidRPr="00EE0852">
        <w:t xml:space="preserve"> </w:t>
      </w:r>
    </w:p>
    <w:p w14:paraId="0A7C2826" w14:textId="4D154FB9" w:rsidR="00FD7B47" w:rsidRPr="006974A2" w:rsidRDefault="00FD7B47" w:rsidP="00FD7B47">
      <w:r>
        <w:rPr>
          <w:b/>
          <w:bCs/>
        </w:rPr>
        <w:t xml:space="preserve">US Census, Zip Level Demographic Data: </w:t>
      </w:r>
      <w:r w:rsidR="00AD2E38">
        <w:t xml:space="preserve">Every 10 years, the United States government collects demographic information about its population as part of the US Census. The </w:t>
      </w:r>
      <w:r w:rsidR="00820038">
        <w:t xml:space="preserve">demographic data collected is used in this </w:t>
      </w:r>
      <w:r w:rsidR="005A548D">
        <w:t xml:space="preserve">project to </w:t>
      </w:r>
      <w:r>
        <w:t>understand</w:t>
      </w:r>
      <w:r w:rsidR="005A548D">
        <w:t xml:space="preserve"> </w:t>
      </w:r>
      <w:proofErr w:type="spellStart"/>
      <w:r w:rsidR="005A548D">
        <w:t>SDoH</w:t>
      </w:r>
      <w:proofErr w:type="spellEnd"/>
      <w:r w:rsidR="005A548D">
        <w:t xml:space="preserve"> factors such as educational attainment, income, </w:t>
      </w:r>
      <w:r w:rsidR="00CA6111">
        <w:t xml:space="preserve">age of population and proportion of population which is in minority demographics. </w:t>
      </w:r>
      <w:r w:rsidR="002568B1">
        <w:t xml:space="preserve">The data is available at the zip code level and is mapped to the </w:t>
      </w:r>
      <w:r w:rsidR="004A5370">
        <w:t>Hospital</w:t>
      </w:r>
      <w:r w:rsidR="002568B1">
        <w:t xml:space="preserve"> Quality Data set by the hospital’s zip code</w:t>
      </w:r>
      <w:r w:rsidR="00F326CA">
        <w:t>:</w:t>
      </w:r>
      <w:r w:rsidR="002568B1">
        <w:t xml:space="preserve"> </w:t>
      </w:r>
    </w:p>
    <w:p w14:paraId="581CFFC9" w14:textId="12F666A4" w:rsidR="00FD7B47" w:rsidRPr="006974A2" w:rsidRDefault="00FD7B47" w:rsidP="00FD7B47">
      <w:r w:rsidRPr="006974A2">
        <w:t xml:space="preserve">Data available to download from: </w:t>
      </w:r>
      <w:hyperlink r:id="rId12" w:history="1">
        <w:r w:rsidR="0031236E" w:rsidRPr="00620D0B">
          <w:rPr>
            <w:rStyle w:val="Hyperlink"/>
          </w:rPr>
          <w:t>https://data.census.gov/cedsci/table?g=0100000US%248600000</w:t>
        </w:r>
      </w:hyperlink>
    </w:p>
    <w:p w14:paraId="3F0052FA" w14:textId="77777777" w:rsidR="00FD7B47" w:rsidRDefault="00FD7B47" w:rsidP="006974A2"/>
    <w:p w14:paraId="2846CA94" w14:textId="0EF279EE" w:rsidR="006974A2" w:rsidRPr="003C7A83" w:rsidRDefault="00F271E5" w:rsidP="006974A2">
      <w:r w:rsidRPr="00F271E5">
        <w:rPr>
          <w:b/>
          <w:bCs/>
        </w:rPr>
        <w:t>Notes on Data Cleansing:</w:t>
      </w:r>
      <w:r>
        <w:rPr>
          <w:b/>
          <w:bCs/>
        </w:rPr>
        <w:t xml:space="preserve">  </w:t>
      </w:r>
      <w:r w:rsidR="00036CD2">
        <w:t xml:space="preserve">Hospitals where zip codes </w:t>
      </w:r>
      <w:r w:rsidR="0052273B">
        <w:t xml:space="preserve">don’t match up to census data will be omitted from the analysis. </w:t>
      </w:r>
      <w:r>
        <w:t xml:space="preserve">In practice, hospitals sometimes have their own zip codes and do not have census data available. </w:t>
      </w:r>
      <w:r w:rsidR="00563E8A">
        <w:t xml:space="preserve"> </w:t>
      </w:r>
      <w:r w:rsidR="00AE08A9">
        <w:t>We will focus only on entities where the Overall Star Rating is available</w:t>
      </w:r>
      <w:r w:rsidR="002C66AB">
        <w:t xml:space="preserve"> and narrow are results </w:t>
      </w:r>
      <w:proofErr w:type="gramStart"/>
      <w:r w:rsidR="002C66AB">
        <w:t xml:space="preserve">to </w:t>
      </w:r>
      <w:r w:rsidR="00A23F53">
        <w:t xml:space="preserve"> </w:t>
      </w:r>
      <w:r w:rsidR="00036CD2">
        <w:t>Short</w:t>
      </w:r>
      <w:proofErr w:type="gramEnd"/>
      <w:r w:rsidR="00036CD2">
        <w:t xml:space="preserve"> Term Acute Care </w:t>
      </w:r>
      <w:r w:rsidR="00414895">
        <w:t xml:space="preserve">and Critical Access Health </w:t>
      </w:r>
      <w:r w:rsidR="00036CD2">
        <w:t>facilities</w:t>
      </w:r>
      <w:r w:rsidR="002C66AB">
        <w:t xml:space="preserve">. </w:t>
      </w:r>
      <w:r w:rsidR="00036CD2">
        <w:t xml:space="preserve"> </w:t>
      </w:r>
      <w:r w:rsidR="002C66AB">
        <w:t>O</w:t>
      </w:r>
      <w:r w:rsidR="00036CD2">
        <w:t xml:space="preserve">ther facility types such as </w:t>
      </w:r>
      <w:r w:rsidR="006B7CD6">
        <w:t xml:space="preserve">DoD/VA, </w:t>
      </w:r>
      <w:r w:rsidR="00A23F53">
        <w:t>P</w:t>
      </w:r>
      <w:r w:rsidR="0025006E">
        <w:t>sychiatric</w:t>
      </w:r>
      <w:r w:rsidR="00036CD2">
        <w:t xml:space="preserve">, </w:t>
      </w:r>
      <w:r w:rsidR="00A23F53">
        <w:t>R</w:t>
      </w:r>
      <w:r w:rsidR="00036CD2">
        <w:t xml:space="preserve">ehabilitation </w:t>
      </w:r>
      <w:r w:rsidR="00A225D6">
        <w:t xml:space="preserve">and </w:t>
      </w:r>
      <w:r w:rsidR="00A23F53">
        <w:t>C</w:t>
      </w:r>
      <w:r w:rsidR="00A225D6">
        <w:t xml:space="preserve">ancer </w:t>
      </w:r>
      <w:r w:rsidR="00A23F53">
        <w:t>C</w:t>
      </w:r>
      <w:r w:rsidR="00A225D6">
        <w:t xml:space="preserve">enters </w:t>
      </w:r>
      <w:r w:rsidR="00036CD2">
        <w:t>will be excluded from the analysis</w:t>
      </w:r>
      <w:r w:rsidR="00420F57">
        <w:t xml:space="preserve">, as they are subject to </w:t>
      </w:r>
      <w:r w:rsidR="002C66AB">
        <w:t>different</w:t>
      </w:r>
      <w:r w:rsidR="00420F57">
        <w:t xml:space="preserve"> type</w:t>
      </w:r>
      <w:r w:rsidR="00A225D6">
        <w:t xml:space="preserve">s of </w:t>
      </w:r>
      <w:r w:rsidR="0025006E">
        <w:t>quality programs and not well covered by the Overall Star Rating metric</w:t>
      </w:r>
      <w:r w:rsidR="00414895">
        <w:t xml:space="preserve">.  Critical Access </w:t>
      </w:r>
      <w:r w:rsidR="00A225D6">
        <w:t>facilities</w:t>
      </w:r>
      <w:r w:rsidR="00414895">
        <w:t xml:space="preserve"> </w:t>
      </w:r>
      <w:r w:rsidR="009747D1">
        <w:t>have up to 25 beds, may provide a reduced range of services and serve primarily rural areas</w:t>
      </w:r>
      <w:r w:rsidR="00736D0D">
        <w:t>. We will compare performance on Overall Star Ratings between Short Term Acute and Critical Access facilities.</w:t>
      </w:r>
    </w:p>
    <w:p w14:paraId="72F0FAAA" w14:textId="31198D89" w:rsidR="006974A2" w:rsidRDefault="008B3FE5">
      <w:r w:rsidRPr="00144A5A">
        <w:rPr>
          <w:b/>
          <w:bCs/>
          <w:u w:val="single"/>
        </w:rPr>
        <w:t>In R:</w:t>
      </w:r>
      <w:r>
        <w:t xml:space="preserve"> need to drop the NA values, </w:t>
      </w:r>
      <w:proofErr w:type="gramStart"/>
      <w:r w:rsidR="00144A5A">
        <w:t>filter</w:t>
      </w:r>
      <w:proofErr w:type="gramEnd"/>
    </w:p>
    <w:p w14:paraId="678461A0" w14:textId="77777777" w:rsidR="008B3FE5" w:rsidRPr="006974A2" w:rsidRDefault="008B3FE5"/>
    <w:p w14:paraId="648383A1" w14:textId="26841C72" w:rsidR="00F22EDD" w:rsidRDefault="00F22EDD" w:rsidP="00F22EDD">
      <w:pPr>
        <w:rPr>
          <w:b/>
          <w:bCs/>
          <w:sz w:val="24"/>
          <w:szCs w:val="24"/>
        </w:rPr>
      </w:pPr>
      <w:r>
        <w:rPr>
          <w:b/>
          <w:bCs/>
          <w:sz w:val="24"/>
          <w:szCs w:val="24"/>
        </w:rPr>
        <w:t xml:space="preserve">Exploration of Data: </w:t>
      </w:r>
    </w:p>
    <w:p w14:paraId="7464E267" w14:textId="1D875460" w:rsidR="005C31A3" w:rsidRPr="005C31A3" w:rsidRDefault="005C31A3" w:rsidP="00F22EDD">
      <w:pPr>
        <w:rPr>
          <w:b/>
          <w:bCs/>
        </w:rPr>
      </w:pPr>
      <w:r w:rsidRPr="005C31A3">
        <w:rPr>
          <w:b/>
          <w:bCs/>
        </w:rPr>
        <w:t>Regional Variations</w:t>
      </w:r>
      <w:proofErr w:type="gramStart"/>
      <w:r w:rsidRPr="005C31A3">
        <w:rPr>
          <w:b/>
          <w:bCs/>
        </w:rPr>
        <w:t>:</w:t>
      </w:r>
      <w:r w:rsidR="007E13CD">
        <w:rPr>
          <w:b/>
          <w:bCs/>
        </w:rPr>
        <w:t xml:space="preserve">  (</w:t>
      </w:r>
      <w:proofErr w:type="gramEnd"/>
      <w:r w:rsidR="007E13CD">
        <w:rPr>
          <w:b/>
          <w:bCs/>
        </w:rPr>
        <w:t>Nadia)</w:t>
      </w:r>
    </w:p>
    <w:p w14:paraId="2F41DC54" w14:textId="0B2DBAD3" w:rsidR="00F326CA" w:rsidRDefault="00F326CA" w:rsidP="00F22EDD">
      <w:r>
        <w:t>Overall Star Ratings by Census Region/Division</w:t>
      </w:r>
      <w:r w:rsidR="00026F9F">
        <w:t>- Note regional disparities in healthcare, especially within the south</w:t>
      </w:r>
      <w:r w:rsidR="00054274">
        <w:t>.</w:t>
      </w:r>
    </w:p>
    <w:p w14:paraId="6C628AD6" w14:textId="692CAED5" w:rsidR="00CA55C3" w:rsidRDefault="00CA55C3" w:rsidP="00F22EDD">
      <w:r>
        <w:t>Overall Star Ratings by State</w:t>
      </w:r>
      <w:r w:rsidR="00755439">
        <w:t xml:space="preserve">  </w:t>
      </w:r>
    </w:p>
    <w:p w14:paraId="26C38460" w14:textId="689D73CB" w:rsidR="005C31A3" w:rsidRPr="005C31A3" w:rsidRDefault="005C31A3" w:rsidP="00F22EDD">
      <w:pPr>
        <w:rPr>
          <w:b/>
          <w:bCs/>
        </w:rPr>
      </w:pPr>
      <w:proofErr w:type="spellStart"/>
      <w:r>
        <w:rPr>
          <w:b/>
          <w:bCs/>
        </w:rPr>
        <w:lastRenderedPageBreak/>
        <w:t>SdOH</w:t>
      </w:r>
      <w:proofErr w:type="spellEnd"/>
      <w:r>
        <w:rPr>
          <w:b/>
          <w:bCs/>
        </w:rPr>
        <w:t xml:space="preserve"> Variation</w:t>
      </w:r>
      <w:proofErr w:type="gramStart"/>
      <w:r w:rsidRPr="005C31A3">
        <w:rPr>
          <w:b/>
          <w:bCs/>
        </w:rPr>
        <w:t>:</w:t>
      </w:r>
      <w:r w:rsidR="007E13CD">
        <w:rPr>
          <w:b/>
          <w:bCs/>
        </w:rPr>
        <w:t xml:space="preserve">  (</w:t>
      </w:r>
      <w:proofErr w:type="gramEnd"/>
      <w:r w:rsidR="007E13CD">
        <w:rPr>
          <w:b/>
          <w:bCs/>
        </w:rPr>
        <w:t>Max)</w:t>
      </w:r>
    </w:p>
    <w:p w14:paraId="3EF91AFD" w14:textId="5D4E7AA2" w:rsidR="0054649E" w:rsidRDefault="00054274" w:rsidP="00F22EDD">
      <w:r>
        <w:t>Table of a</w:t>
      </w:r>
      <w:r w:rsidR="0054649E">
        <w:t xml:space="preserve">verage value for </w:t>
      </w:r>
      <w:proofErr w:type="spellStart"/>
      <w:r w:rsidR="0054649E">
        <w:t>SdOH</w:t>
      </w:r>
      <w:proofErr w:type="spellEnd"/>
      <w:r w:rsidR="0054649E">
        <w:t xml:space="preserve"> factor by STAR Rating Measure (1-5)</w:t>
      </w:r>
      <w:r w:rsidR="004220D1">
        <w:t>.</w:t>
      </w:r>
    </w:p>
    <w:p w14:paraId="7CAF4AA2" w14:textId="63931A43" w:rsidR="00A00C2E" w:rsidRDefault="00A00C2E" w:rsidP="00F22EDD">
      <w:r>
        <w:t xml:space="preserve">Boxplot of </w:t>
      </w:r>
      <w:proofErr w:type="spellStart"/>
      <w:r w:rsidR="00B53F5D">
        <w:t>SdoH</w:t>
      </w:r>
      <w:proofErr w:type="spellEnd"/>
      <w:r w:rsidR="00B53F5D">
        <w:t xml:space="preserve"> factors by Star Rating Measure – Ranges of variables and outliers</w:t>
      </w:r>
    </w:p>
    <w:p w14:paraId="6ABC5A70" w14:textId="44C402A4" w:rsidR="00054274" w:rsidRDefault="00054274" w:rsidP="00F22EDD">
      <w:r>
        <w:t xml:space="preserve">Maybe a prop test </w:t>
      </w:r>
      <w:r w:rsidR="00053B2A">
        <w:t xml:space="preserve">/contingency table </w:t>
      </w:r>
      <w:r>
        <w:t>result?</w:t>
      </w:r>
    </w:p>
    <w:p w14:paraId="06A60B9B" w14:textId="6E2425C7" w:rsidR="005C31A3" w:rsidRPr="00F7687D" w:rsidRDefault="005C31A3" w:rsidP="00F22EDD">
      <w:pPr>
        <w:rPr>
          <w:b/>
          <w:bCs/>
        </w:rPr>
      </w:pPr>
      <w:r w:rsidRPr="00F7687D">
        <w:rPr>
          <w:b/>
          <w:bCs/>
        </w:rPr>
        <w:t>Facility Type Variation:</w:t>
      </w:r>
      <w:r w:rsidR="0065446E">
        <w:rPr>
          <w:b/>
          <w:bCs/>
        </w:rPr>
        <w:t xml:space="preserve"> (Imran)</w:t>
      </w:r>
    </w:p>
    <w:p w14:paraId="3C602E3A" w14:textId="7A9D7BDF" w:rsidR="004220D1" w:rsidRDefault="004220D1" w:rsidP="00F22EDD">
      <w:r>
        <w:t>Average STAR Rating Measure for STC (Acute) vs. (CAH) – See if there is a difference.</w:t>
      </w:r>
    </w:p>
    <w:p w14:paraId="6935F3B7" w14:textId="769664B7" w:rsidR="006731F8" w:rsidRPr="006731F8" w:rsidRDefault="006731F8" w:rsidP="00F22EDD">
      <w:r>
        <w:t xml:space="preserve">Average STAR Rating Measure for STC </w:t>
      </w:r>
      <w:r w:rsidR="00435A35">
        <w:t>for Pro</w:t>
      </w:r>
      <w:r w:rsidR="00F75DEC">
        <w:t>fit, non-Profit</w:t>
      </w:r>
      <w:r>
        <w:t xml:space="preserve"> – See if there is a difference.</w:t>
      </w:r>
    </w:p>
    <w:p w14:paraId="4A2DDE94" w14:textId="70F10411" w:rsidR="00F7687D" w:rsidRPr="00F7687D" w:rsidRDefault="00F7687D" w:rsidP="00F22EDD">
      <w:pPr>
        <w:rPr>
          <w:b/>
          <w:bCs/>
        </w:rPr>
      </w:pPr>
      <w:r>
        <w:rPr>
          <w:b/>
          <w:bCs/>
        </w:rPr>
        <w:t>Quality Measures by STAR Ratings</w:t>
      </w:r>
      <w:r w:rsidRPr="00F7687D">
        <w:rPr>
          <w:b/>
          <w:bCs/>
        </w:rPr>
        <w:t>:</w:t>
      </w:r>
      <w:r w:rsidR="00CF3A20">
        <w:rPr>
          <w:b/>
          <w:bCs/>
        </w:rPr>
        <w:t xml:space="preserve"> (Erin to take this one)</w:t>
      </w:r>
    </w:p>
    <w:p w14:paraId="0A17A071" w14:textId="63434A8B" w:rsidR="00B653DB" w:rsidRDefault="00B53F5D" w:rsidP="00B53F5D">
      <w:r>
        <w:t>Continuous</w:t>
      </w:r>
      <w:r>
        <w:t xml:space="preserve"> Qu</w:t>
      </w:r>
      <w:r>
        <w:t xml:space="preserve">ality Measures, look at </w:t>
      </w:r>
      <w:proofErr w:type="gramStart"/>
      <w:r>
        <w:t>histogram</w:t>
      </w:r>
      <w:proofErr w:type="gramEnd"/>
      <w:r>
        <w:t xml:space="preserve"> to see if they are normal or not. </w:t>
      </w:r>
      <w:r w:rsidR="00B653DB">
        <w:br/>
        <w:t xml:space="preserve">Mean Quality Measure by </w:t>
      </w:r>
      <w:r w:rsidR="003C2DB7">
        <w:t>Star Rating Measure – is there a difference for the measures for hospitals of similar quality measures.</w:t>
      </w:r>
    </w:p>
    <w:p w14:paraId="17AB8879" w14:textId="2A9F36B1" w:rsidR="00F22EDD" w:rsidRDefault="00F22EDD" w:rsidP="00F22EDD">
      <w:pPr>
        <w:rPr>
          <w:b/>
          <w:bCs/>
          <w:sz w:val="24"/>
          <w:szCs w:val="24"/>
        </w:rPr>
      </w:pPr>
    </w:p>
    <w:p w14:paraId="3901E8A3" w14:textId="3839C7BC" w:rsidR="00F22EDD" w:rsidRDefault="00F22EDD" w:rsidP="00F22EDD">
      <w:pPr>
        <w:rPr>
          <w:b/>
          <w:bCs/>
          <w:sz w:val="24"/>
          <w:szCs w:val="24"/>
        </w:rPr>
      </w:pPr>
      <w:r>
        <w:rPr>
          <w:b/>
          <w:bCs/>
          <w:sz w:val="24"/>
          <w:szCs w:val="24"/>
        </w:rPr>
        <w:t xml:space="preserve">Analytic Approach: </w:t>
      </w:r>
    </w:p>
    <w:p w14:paraId="2E2C311C" w14:textId="30B44C8D" w:rsidR="00F22EDD" w:rsidRDefault="00F22EDD" w:rsidP="00F22EDD">
      <w:r w:rsidRPr="00F22EDD">
        <w:t>&lt;Discuss Approach&gt;</w:t>
      </w:r>
    </w:p>
    <w:p w14:paraId="19F4856A" w14:textId="6FA9C1BB" w:rsidR="004220D1" w:rsidRPr="00A77DC3" w:rsidRDefault="004220D1" w:rsidP="00F22EDD">
      <w:r w:rsidRPr="00A77DC3">
        <w:t>One-Hot Encode (Make Binary) an</w:t>
      </w:r>
      <w:r w:rsidR="00A77DC3" w:rsidRPr="00A77DC3">
        <w:t>y</w:t>
      </w:r>
      <w:r w:rsidR="004B29CA">
        <w:t xml:space="preserve"> non-continuous </w:t>
      </w:r>
      <w:r w:rsidR="009721C8">
        <w:t>variables.</w:t>
      </w:r>
      <w:r w:rsidR="00665D15">
        <w:t xml:space="preserve"> (</w:t>
      </w:r>
      <w:proofErr w:type="gramStart"/>
      <w:r w:rsidR="00665D15">
        <w:t>e.g.</w:t>
      </w:r>
      <w:proofErr w:type="gramEnd"/>
      <w:r w:rsidR="00665D15">
        <w:t xml:space="preserve"> census region)</w:t>
      </w:r>
    </w:p>
    <w:p w14:paraId="5ADE2EF9" w14:textId="4276067B" w:rsidR="00A7114D" w:rsidRDefault="00A77DC3" w:rsidP="00F22EDD">
      <w:r w:rsidRPr="00A77DC3">
        <w:t xml:space="preserve">Question regarding appropriate model to use for integer type </w:t>
      </w:r>
      <w:r w:rsidR="00A7114D">
        <w:t>variables</w:t>
      </w:r>
      <w:r w:rsidRPr="00A77DC3">
        <w:t xml:space="preserve"> (1-5).  </w:t>
      </w:r>
    </w:p>
    <w:p w14:paraId="627DCFCA" w14:textId="5F18F0E3" w:rsidR="004220D1" w:rsidRPr="00A77DC3" w:rsidRDefault="00A77DC3" w:rsidP="00F22EDD">
      <w:r w:rsidRPr="00A77DC3">
        <w:t>Logistic vs. Linear models?</w:t>
      </w:r>
    </w:p>
    <w:p w14:paraId="681417B1" w14:textId="340C026C" w:rsidR="00F22EDD" w:rsidRPr="00A77DC3" w:rsidRDefault="00A77DC3" w:rsidP="00F22EDD">
      <w:r w:rsidRPr="00A77DC3">
        <w:t xml:space="preserve">Decision Tree Model </w:t>
      </w:r>
      <w:r w:rsidR="003D6837">
        <w:t xml:space="preserve">has the advantage of working for both continuous and categorical variables. </w:t>
      </w:r>
    </w:p>
    <w:p w14:paraId="2843BA6A" w14:textId="77777777" w:rsidR="00A77DC3" w:rsidRDefault="00A77DC3" w:rsidP="00F22EDD">
      <w:pPr>
        <w:rPr>
          <w:b/>
          <w:bCs/>
          <w:sz w:val="24"/>
          <w:szCs w:val="24"/>
        </w:rPr>
      </w:pPr>
    </w:p>
    <w:p w14:paraId="6BCEED99" w14:textId="54BE6C0B" w:rsidR="00F22EDD" w:rsidRDefault="00F22EDD" w:rsidP="00F22EDD">
      <w:pPr>
        <w:rPr>
          <w:b/>
          <w:bCs/>
          <w:sz w:val="24"/>
          <w:szCs w:val="24"/>
        </w:rPr>
      </w:pPr>
      <w:r>
        <w:rPr>
          <w:b/>
          <w:bCs/>
          <w:sz w:val="24"/>
          <w:szCs w:val="24"/>
        </w:rPr>
        <w:t>Discussion of Results:</w:t>
      </w:r>
    </w:p>
    <w:p w14:paraId="5500560A" w14:textId="77777777" w:rsidR="00F22EDD" w:rsidRPr="00F22EDD" w:rsidRDefault="00F22EDD" w:rsidP="00F22EDD">
      <w:r>
        <w:t>&lt;Insert regression results&gt;</w:t>
      </w:r>
    </w:p>
    <w:p w14:paraId="073F1C92" w14:textId="77777777" w:rsidR="00F22EDD" w:rsidRPr="00FD7B47" w:rsidRDefault="00F22EDD" w:rsidP="00F22EDD">
      <w:pPr>
        <w:rPr>
          <w:b/>
          <w:bCs/>
          <w:sz w:val="24"/>
          <w:szCs w:val="24"/>
        </w:rPr>
      </w:pPr>
    </w:p>
    <w:p w14:paraId="3B887DE0" w14:textId="0FE98D8D" w:rsidR="00F22EDD" w:rsidRDefault="00F22EDD" w:rsidP="00F22EDD">
      <w:pPr>
        <w:rPr>
          <w:b/>
          <w:bCs/>
          <w:sz w:val="24"/>
          <w:szCs w:val="24"/>
        </w:rPr>
      </w:pPr>
      <w:r>
        <w:rPr>
          <w:b/>
          <w:bCs/>
          <w:sz w:val="24"/>
          <w:szCs w:val="24"/>
        </w:rPr>
        <w:t>Conclusions:</w:t>
      </w:r>
    </w:p>
    <w:p w14:paraId="165C67F1" w14:textId="489C8E63" w:rsidR="00261C7B" w:rsidRDefault="00F22EDD">
      <w:r>
        <w:t>&lt;Highlight any key findings&gt;</w:t>
      </w:r>
    </w:p>
    <w:p w14:paraId="574E2C6B" w14:textId="301D9B5C" w:rsidR="00E249C0" w:rsidRDefault="00E249C0">
      <w:pPr>
        <w:rPr>
          <w:b/>
          <w:bCs/>
          <w:sz w:val="24"/>
          <w:szCs w:val="24"/>
        </w:rPr>
      </w:pPr>
      <w:r>
        <w:rPr>
          <w:b/>
          <w:bCs/>
          <w:sz w:val="24"/>
          <w:szCs w:val="24"/>
        </w:rPr>
        <w:br w:type="page"/>
      </w:r>
    </w:p>
    <w:p w14:paraId="2EEEAE29" w14:textId="77777777" w:rsidR="00F2603F" w:rsidRPr="00E249C0" w:rsidRDefault="00F2603F" w:rsidP="00F2603F">
      <w:pPr>
        <w:rPr>
          <w:b/>
          <w:bCs/>
        </w:rPr>
      </w:pPr>
      <w:r>
        <w:rPr>
          <w:b/>
          <w:bCs/>
        </w:rPr>
        <w:lastRenderedPageBreak/>
        <w:t>List of References</w:t>
      </w:r>
      <w:r w:rsidRPr="00E249C0">
        <w:rPr>
          <w:b/>
          <w:bCs/>
        </w:rPr>
        <w:t xml:space="preserve">: </w:t>
      </w:r>
    </w:p>
    <w:p w14:paraId="159C2B72" w14:textId="77777777" w:rsidR="00F2603F" w:rsidRPr="00DC5D7B" w:rsidRDefault="00F2603F" w:rsidP="00F2603F">
      <w:r w:rsidRPr="00E64032">
        <w:rPr>
          <w:b/>
          <w:bCs/>
        </w:rPr>
        <w:t>[</w:t>
      </w:r>
      <w:r>
        <w:rPr>
          <w:b/>
          <w:bCs/>
        </w:rPr>
        <w:t>1</w:t>
      </w:r>
      <w:r w:rsidRPr="00E64032">
        <w:rPr>
          <w:b/>
          <w:bCs/>
        </w:rPr>
        <w:t>]</w:t>
      </w:r>
      <w:r w:rsidRPr="00DC5D7B">
        <w:t xml:space="preserve"> Healthy People 2030, U.S. Department of Health and Human Services, Office of Disease Prevention and Health Promotion. Retrieved </w:t>
      </w:r>
      <w:r>
        <w:t>March 15, 2023</w:t>
      </w:r>
      <w:r w:rsidRPr="00DC5D7B">
        <w:t>, from</w:t>
      </w:r>
      <w:r>
        <w:t xml:space="preserve"> </w:t>
      </w:r>
      <w:hyperlink r:id="rId13" w:history="1">
        <w:r w:rsidRPr="00287B60">
          <w:rPr>
            <w:rStyle w:val="Hyperlink"/>
          </w:rPr>
          <w:t>https://health.gov/healthypeople/objectives-and-data/social-determinants-health</w:t>
        </w:r>
      </w:hyperlink>
    </w:p>
    <w:p w14:paraId="233B7202" w14:textId="77777777" w:rsidR="00F2603F" w:rsidRDefault="00F2603F" w:rsidP="00F2603F">
      <w:r w:rsidRPr="007C2EF7">
        <w:rPr>
          <w:b/>
          <w:bCs/>
        </w:rPr>
        <w:t>[2]</w:t>
      </w:r>
      <w:r>
        <w:t xml:space="preserve"> </w:t>
      </w:r>
      <w:hyperlink r:id="rId14" w:history="1">
        <w:r w:rsidRPr="00287B60">
          <w:rPr>
            <w:rStyle w:val="Hyperlink"/>
          </w:rPr>
          <w:t>https://www.cms.gov/about-cms/agencyAc-information/omh/health-equity-programs/cms-framework-for-health-equity</w:t>
        </w:r>
      </w:hyperlink>
    </w:p>
    <w:p w14:paraId="3A91760B" w14:textId="77777777" w:rsidR="00F2603F" w:rsidRDefault="00F2603F" w:rsidP="00F2603F">
      <w:r w:rsidRPr="00FD7B47">
        <w:rPr>
          <w:b/>
          <w:bCs/>
        </w:rPr>
        <w:t>[3]</w:t>
      </w:r>
      <w:r>
        <w:t xml:space="preserve"> </w:t>
      </w:r>
      <w:r w:rsidRPr="00FD7B47">
        <w:t>https://data.cms.gov/provider-data/topics/hospitals/overall-hospital-quality-star-rating/</w:t>
      </w:r>
    </w:p>
    <w:p w14:paraId="796A4A20" w14:textId="77777777" w:rsidR="00F2603F" w:rsidRDefault="00F2603F" w:rsidP="00F2603F">
      <w:r w:rsidRPr="007C2EF7">
        <w:rPr>
          <w:b/>
          <w:bCs/>
        </w:rPr>
        <w:t>[</w:t>
      </w:r>
      <w:r>
        <w:rPr>
          <w:b/>
          <w:bCs/>
        </w:rPr>
        <w:t>4</w:t>
      </w:r>
      <w:r w:rsidRPr="007C2EF7">
        <w:rPr>
          <w:b/>
          <w:bCs/>
        </w:rPr>
        <w:t>]</w:t>
      </w:r>
      <w:r>
        <w:t xml:space="preserve"> </w:t>
      </w:r>
      <w:proofErr w:type="spellStart"/>
      <w:r>
        <w:t>Braveman</w:t>
      </w:r>
      <w:proofErr w:type="spellEnd"/>
      <w:r>
        <w:t xml:space="preserve"> P, Gottlieb L. The Social Determinants of Health: It’s Time to Consider the Causes of the Causes. Public Health Reports. 2014;129(1_suppl2):19-31. </w:t>
      </w:r>
      <w:proofErr w:type="spellStart"/>
      <w:r>
        <w:t>doi</w:t>
      </w:r>
      <w:proofErr w:type="spellEnd"/>
      <w:r>
        <w:t xml:space="preserve">: </w:t>
      </w:r>
      <w:hyperlink r:id="rId15" w:history="1">
        <w:r w:rsidRPr="0094349E">
          <w:rPr>
            <w:rStyle w:val="Hyperlink"/>
          </w:rPr>
          <w:t>10.1177/00333549141291S206</w:t>
        </w:r>
      </w:hyperlink>
    </w:p>
    <w:p w14:paraId="7ADDED8A" w14:textId="77777777" w:rsidR="00F2603F" w:rsidRDefault="00F2603F">
      <w:pPr>
        <w:rPr>
          <w:b/>
          <w:bCs/>
          <w:sz w:val="24"/>
          <w:szCs w:val="24"/>
        </w:rPr>
      </w:pPr>
    </w:p>
    <w:p w14:paraId="49C164AE" w14:textId="32508D6C" w:rsidR="00261C7B" w:rsidRPr="00261C7B" w:rsidRDefault="00261C7B">
      <w:pPr>
        <w:rPr>
          <w:b/>
          <w:bCs/>
          <w:sz w:val="24"/>
          <w:szCs w:val="24"/>
        </w:rPr>
      </w:pPr>
      <w:r w:rsidRPr="00261C7B">
        <w:rPr>
          <w:b/>
          <w:bCs/>
          <w:sz w:val="24"/>
          <w:szCs w:val="24"/>
        </w:rPr>
        <w:t xml:space="preserve">Data Dictionary: </w:t>
      </w:r>
    </w:p>
    <w:tbl>
      <w:tblPr>
        <w:tblW w:w="10193" w:type="dxa"/>
        <w:tblLook w:val="04A0" w:firstRow="1" w:lastRow="0" w:firstColumn="1" w:lastColumn="0" w:noHBand="0" w:noVBand="1"/>
      </w:tblPr>
      <w:tblGrid>
        <w:gridCol w:w="3224"/>
        <w:gridCol w:w="3364"/>
        <w:gridCol w:w="3605"/>
      </w:tblGrid>
      <w:tr w:rsidR="00C84620" w:rsidRPr="00C84620" w14:paraId="6EC4ECFE" w14:textId="77777777" w:rsidTr="00144A5A">
        <w:trPr>
          <w:trHeight w:val="277"/>
        </w:trPr>
        <w:tc>
          <w:tcPr>
            <w:tcW w:w="3224" w:type="dxa"/>
            <w:tcBorders>
              <w:top w:val="nil"/>
              <w:left w:val="nil"/>
              <w:bottom w:val="nil"/>
              <w:right w:val="nil"/>
            </w:tcBorders>
            <w:shd w:val="clear" w:color="auto" w:fill="auto"/>
            <w:noWrap/>
            <w:vAlign w:val="bottom"/>
            <w:hideMark/>
          </w:tcPr>
          <w:p w14:paraId="6214140D" w14:textId="77777777" w:rsidR="00C84620" w:rsidRPr="00C84620" w:rsidRDefault="00C84620" w:rsidP="00C84620">
            <w:pPr>
              <w:spacing w:after="0" w:line="240" w:lineRule="auto"/>
              <w:rPr>
                <w:rFonts w:ascii="Calibri" w:eastAsia="Times New Roman" w:hAnsi="Calibri" w:cs="Calibri"/>
                <w:b/>
                <w:bCs/>
                <w:color w:val="000000"/>
              </w:rPr>
            </w:pPr>
            <w:r w:rsidRPr="00C84620">
              <w:rPr>
                <w:rFonts w:ascii="Calibri" w:eastAsia="Times New Roman" w:hAnsi="Calibri" w:cs="Calibri"/>
                <w:b/>
                <w:bCs/>
                <w:color w:val="000000"/>
              </w:rPr>
              <w:t>Field Name</w:t>
            </w:r>
          </w:p>
        </w:tc>
        <w:tc>
          <w:tcPr>
            <w:tcW w:w="3364" w:type="dxa"/>
            <w:tcBorders>
              <w:top w:val="nil"/>
              <w:left w:val="nil"/>
              <w:bottom w:val="nil"/>
              <w:right w:val="nil"/>
            </w:tcBorders>
            <w:shd w:val="clear" w:color="auto" w:fill="auto"/>
            <w:vAlign w:val="bottom"/>
            <w:hideMark/>
          </w:tcPr>
          <w:p w14:paraId="375225C4" w14:textId="77777777" w:rsidR="00C84620" w:rsidRPr="00C84620" w:rsidRDefault="00C84620" w:rsidP="00C84620">
            <w:pPr>
              <w:spacing w:after="0" w:line="240" w:lineRule="auto"/>
              <w:rPr>
                <w:rFonts w:ascii="Calibri" w:eastAsia="Times New Roman" w:hAnsi="Calibri" w:cs="Calibri"/>
                <w:b/>
                <w:bCs/>
                <w:color w:val="000000"/>
              </w:rPr>
            </w:pPr>
            <w:r w:rsidRPr="00C84620">
              <w:rPr>
                <w:rFonts w:ascii="Calibri" w:eastAsia="Times New Roman" w:hAnsi="Calibri" w:cs="Calibri"/>
                <w:b/>
                <w:bCs/>
                <w:color w:val="000000"/>
              </w:rPr>
              <w:t>Field Description</w:t>
            </w:r>
          </w:p>
        </w:tc>
        <w:tc>
          <w:tcPr>
            <w:tcW w:w="3605" w:type="dxa"/>
            <w:tcBorders>
              <w:top w:val="nil"/>
              <w:left w:val="nil"/>
              <w:bottom w:val="nil"/>
              <w:right w:val="nil"/>
            </w:tcBorders>
            <w:shd w:val="clear" w:color="auto" w:fill="auto"/>
            <w:noWrap/>
            <w:vAlign w:val="bottom"/>
            <w:hideMark/>
          </w:tcPr>
          <w:p w14:paraId="657FB162" w14:textId="77777777" w:rsidR="00C84620" w:rsidRPr="00C84620" w:rsidRDefault="00C84620" w:rsidP="00C84620">
            <w:pPr>
              <w:spacing w:after="0" w:line="240" w:lineRule="auto"/>
              <w:rPr>
                <w:rFonts w:ascii="Calibri" w:eastAsia="Times New Roman" w:hAnsi="Calibri" w:cs="Calibri"/>
                <w:b/>
                <w:bCs/>
                <w:color w:val="000000"/>
              </w:rPr>
            </w:pPr>
            <w:r w:rsidRPr="00C84620">
              <w:rPr>
                <w:rFonts w:ascii="Calibri" w:eastAsia="Times New Roman" w:hAnsi="Calibri" w:cs="Calibri"/>
                <w:b/>
                <w:bCs/>
                <w:color w:val="000000"/>
              </w:rPr>
              <w:t>Data Source</w:t>
            </w:r>
          </w:p>
        </w:tc>
      </w:tr>
      <w:tr w:rsidR="00C84620" w:rsidRPr="00C84620" w14:paraId="19527C10" w14:textId="77777777" w:rsidTr="00144A5A">
        <w:trPr>
          <w:trHeight w:val="831"/>
        </w:trPr>
        <w:tc>
          <w:tcPr>
            <w:tcW w:w="3224" w:type="dxa"/>
            <w:tcBorders>
              <w:top w:val="single" w:sz="4" w:space="0" w:color="auto"/>
              <w:left w:val="single" w:sz="4" w:space="0" w:color="auto"/>
              <w:bottom w:val="single" w:sz="4" w:space="0" w:color="auto"/>
              <w:right w:val="single" w:sz="4" w:space="0" w:color="auto"/>
            </w:tcBorders>
            <w:shd w:val="clear" w:color="auto" w:fill="auto"/>
            <w:noWrap/>
            <w:hideMark/>
          </w:tcPr>
          <w:p w14:paraId="13C4B7CC"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Facility ID</w:t>
            </w:r>
          </w:p>
        </w:tc>
        <w:tc>
          <w:tcPr>
            <w:tcW w:w="3364" w:type="dxa"/>
            <w:tcBorders>
              <w:top w:val="single" w:sz="4" w:space="0" w:color="auto"/>
              <w:left w:val="nil"/>
              <w:bottom w:val="single" w:sz="4" w:space="0" w:color="auto"/>
              <w:right w:val="single" w:sz="4" w:space="0" w:color="auto"/>
            </w:tcBorders>
            <w:shd w:val="clear" w:color="auto" w:fill="auto"/>
            <w:hideMark/>
          </w:tcPr>
          <w:p w14:paraId="7CCBD9C2" w14:textId="2863BC42" w:rsidR="00C84620" w:rsidRPr="00C84620" w:rsidRDefault="00C84620" w:rsidP="00C84620">
            <w:pPr>
              <w:spacing w:after="0" w:line="240" w:lineRule="auto"/>
              <w:rPr>
                <w:rFonts w:ascii="Calibri" w:eastAsia="Times New Roman" w:hAnsi="Calibri" w:cs="Calibri"/>
                <w:color w:val="000000"/>
                <w:sz w:val="20"/>
                <w:szCs w:val="20"/>
              </w:rPr>
            </w:pPr>
            <w:proofErr w:type="gramStart"/>
            <w:r w:rsidRPr="00C84620">
              <w:rPr>
                <w:rFonts w:ascii="Calibri" w:eastAsia="Times New Roman" w:hAnsi="Calibri" w:cs="Calibri"/>
                <w:color w:val="000000"/>
                <w:sz w:val="20"/>
                <w:szCs w:val="20"/>
              </w:rPr>
              <w:t>Medicare Provider Number,</w:t>
            </w:r>
            <w:proofErr w:type="gramEnd"/>
            <w:r w:rsidRPr="00C84620">
              <w:rPr>
                <w:rFonts w:ascii="Calibri" w:eastAsia="Times New Roman" w:hAnsi="Calibri" w:cs="Calibri"/>
                <w:color w:val="000000"/>
                <w:sz w:val="20"/>
                <w:szCs w:val="20"/>
              </w:rPr>
              <w:t xml:space="preserve"> can be used to link across CMS data sets. Unique to a </w:t>
            </w:r>
            <w:r w:rsidR="009F2C6A" w:rsidRPr="00C84620">
              <w:rPr>
                <w:rFonts w:ascii="Calibri" w:eastAsia="Times New Roman" w:hAnsi="Calibri" w:cs="Calibri"/>
                <w:color w:val="000000"/>
                <w:sz w:val="20"/>
                <w:szCs w:val="20"/>
              </w:rPr>
              <w:t>hospital</w:t>
            </w:r>
          </w:p>
        </w:tc>
        <w:tc>
          <w:tcPr>
            <w:tcW w:w="3605" w:type="dxa"/>
            <w:tcBorders>
              <w:top w:val="single" w:sz="4" w:space="0" w:color="auto"/>
              <w:left w:val="nil"/>
              <w:bottom w:val="single" w:sz="4" w:space="0" w:color="auto"/>
              <w:right w:val="single" w:sz="4" w:space="0" w:color="auto"/>
            </w:tcBorders>
            <w:shd w:val="clear" w:color="auto" w:fill="auto"/>
            <w:hideMark/>
          </w:tcPr>
          <w:p w14:paraId="336DE0B6"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169E9988"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0C6E3267"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Facility Name</w:t>
            </w:r>
          </w:p>
        </w:tc>
        <w:tc>
          <w:tcPr>
            <w:tcW w:w="3364" w:type="dxa"/>
            <w:tcBorders>
              <w:top w:val="nil"/>
              <w:left w:val="nil"/>
              <w:bottom w:val="single" w:sz="4" w:space="0" w:color="auto"/>
              <w:right w:val="single" w:sz="4" w:space="0" w:color="auto"/>
            </w:tcBorders>
            <w:shd w:val="clear" w:color="auto" w:fill="auto"/>
            <w:noWrap/>
            <w:hideMark/>
          </w:tcPr>
          <w:p w14:paraId="7A9062EB"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Facility Name</w:t>
            </w:r>
          </w:p>
        </w:tc>
        <w:tc>
          <w:tcPr>
            <w:tcW w:w="3605" w:type="dxa"/>
            <w:tcBorders>
              <w:top w:val="nil"/>
              <w:left w:val="nil"/>
              <w:bottom w:val="single" w:sz="4" w:space="0" w:color="auto"/>
              <w:right w:val="single" w:sz="4" w:space="0" w:color="auto"/>
            </w:tcBorders>
            <w:shd w:val="clear" w:color="auto" w:fill="auto"/>
            <w:hideMark/>
          </w:tcPr>
          <w:p w14:paraId="102FD8D8"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2B324805"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D74BFAF"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Address</w:t>
            </w:r>
          </w:p>
        </w:tc>
        <w:tc>
          <w:tcPr>
            <w:tcW w:w="3364" w:type="dxa"/>
            <w:tcBorders>
              <w:top w:val="nil"/>
              <w:left w:val="nil"/>
              <w:bottom w:val="single" w:sz="4" w:space="0" w:color="auto"/>
              <w:right w:val="single" w:sz="4" w:space="0" w:color="auto"/>
            </w:tcBorders>
            <w:shd w:val="clear" w:color="auto" w:fill="auto"/>
            <w:noWrap/>
            <w:hideMark/>
          </w:tcPr>
          <w:p w14:paraId="62EA8F23"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Address</w:t>
            </w:r>
          </w:p>
        </w:tc>
        <w:tc>
          <w:tcPr>
            <w:tcW w:w="3605" w:type="dxa"/>
            <w:tcBorders>
              <w:top w:val="nil"/>
              <w:left w:val="nil"/>
              <w:bottom w:val="single" w:sz="4" w:space="0" w:color="auto"/>
              <w:right w:val="single" w:sz="4" w:space="0" w:color="auto"/>
            </w:tcBorders>
            <w:shd w:val="clear" w:color="auto" w:fill="auto"/>
            <w:hideMark/>
          </w:tcPr>
          <w:p w14:paraId="5B822780"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7AC06B91"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4301BE95"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City</w:t>
            </w:r>
          </w:p>
        </w:tc>
        <w:tc>
          <w:tcPr>
            <w:tcW w:w="3364" w:type="dxa"/>
            <w:tcBorders>
              <w:top w:val="nil"/>
              <w:left w:val="nil"/>
              <w:bottom w:val="single" w:sz="4" w:space="0" w:color="auto"/>
              <w:right w:val="single" w:sz="4" w:space="0" w:color="auto"/>
            </w:tcBorders>
            <w:shd w:val="clear" w:color="auto" w:fill="auto"/>
            <w:noWrap/>
            <w:hideMark/>
          </w:tcPr>
          <w:p w14:paraId="34F94102"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City</w:t>
            </w:r>
          </w:p>
        </w:tc>
        <w:tc>
          <w:tcPr>
            <w:tcW w:w="3605" w:type="dxa"/>
            <w:tcBorders>
              <w:top w:val="nil"/>
              <w:left w:val="nil"/>
              <w:bottom w:val="single" w:sz="4" w:space="0" w:color="auto"/>
              <w:right w:val="single" w:sz="4" w:space="0" w:color="auto"/>
            </w:tcBorders>
            <w:shd w:val="clear" w:color="auto" w:fill="auto"/>
            <w:hideMark/>
          </w:tcPr>
          <w:p w14:paraId="593FAC43"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76E20A1E"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42EB82BA"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State</w:t>
            </w:r>
          </w:p>
        </w:tc>
        <w:tc>
          <w:tcPr>
            <w:tcW w:w="3364" w:type="dxa"/>
            <w:tcBorders>
              <w:top w:val="nil"/>
              <w:left w:val="nil"/>
              <w:bottom w:val="single" w:sz="4" w:space="0" w:color="auto"/>
              <w:right w:val="single" w:sz="4" w:space="0" w:color="auto"/>
            </w:tcBorders>
            <w:shd w:val="clear" w:color="auto" w:fill="auto"/>
            <w:noWrap/>
            <w:hideMark/>
          </w:tcPr>
          <w:p w14:paraId="6002E685"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State</w:t>
            </w:r>
          </w:p>
        </w:tc>
        <w:tc>
          <w:tcPr>
            <w:tcW w:w="3605" w:type="dxa"/>
            <w:tcBorders>
              <w:top w:val="nil"/>
              <w:left w:val="nil"/>
              <w:bottom w:val="single" w:sz="4" w:space="0" w:color="auto"/>
              <w:right w:val="single" w:sz="4" w:space="0" w:color="auto"/>
            </w:tcBorders>
            <w:shd w:val="clear" w:color="auto" w:fill="auto"/>
            <w:hideMark/>
          </w:tcPr>
          <w:p w14:paraId="6A526B0F"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617E02EE"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8AB21C6"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ZIP Code</w:t>
            </w:r>
          </w:p>
        </w:tc>
        <w:tc>
          <w:tcPr>
            <w:tcW w:w="3364" w:type="dxa"/>
            <w:tcBorders>
              <w:top w:val="nil"/>
              <w:left w:val="nil"/>
              <w:bottom w:val="single" w:sz="4" w:space="0" w:color="auto"/>
              <w:right w:val="single" w:sz="4" w:space="0" w:color="auto"/>
            </w:tcBorders>
            <w:shd w:val="clear" w:color="auto" w:fill="auto"/>
            <w:noWrap/>
            <w:hideMark/>
          </w:tcPr>
          <w:p w14:paraId="383B92F4"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ZIP Code</w:t>
            </w:r>
          </w:p>
        </w:tc>
        <w:tc>
          <w:tcPr>
            <w:tcW w:w="3605" w:type="dxa"/>
            <w:tcBorders>
              <w:top w:val="nil"/>
              <w:left w:val="nil"/>
              <w:bottom w:val="single" w:sz="4" w:space="0" w:color="auto"/>
              <w:right w:val="single" w:sz="4" w:space="0" w:color="auto"/>
            </w:tcBorders>
            <w:shd w:val="clear" w:color="auto" w:fill="auto"/>
            <w:hideMark/>
          </w:tcPr>
          <w:p w14:paraId="6081754D"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49BDFED9"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3A435D3F"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County Name</w:t>
            </w:r>
          </w:p>
        </w:tc>
        <w:tc>
          <w:tcPr>
            <w:tcW w:w="3364" w:type="dxa"/>
            <w:tcBorders>
              <w:top w:val="nil"/>
              <w:left w:val="nil"/>
              <w:bottom w:val="single" w:sz="4" w:space="0" w:color="auto"/>
              <w:right w:val="single" w:sz="4" w:space="0" w:color="auto"/>
            </w:tcBorders>
            <w:shd w:val="clear" w:color="auto" w:fill="auto"/>
            <w:noWrap/>
            <w:hideMark/>
          </w:tcPr>
          <w:p w14:paraId="455D0C3C"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County Name</w:t>
            </w:r>
          </w:p>
        </w:tc>
        <w:tc>
          <w:tcPr>
            <w:tcW w:w="3605" w:type="dxa"/>
            <w:tcBorders>
              <w:top w:val="nil"/>
              <w:left w:val="nil"/>
              <w:bottom w:val="single" w:sz="4" w:space="0" w:color="auto"/>
              <w:right w:val="single" w:sz="4" w:space="0" w:color="auto"/>
            </w:tcBorders>
            <w:shd w:val="clear" w:color="auto" w:fill="auto"/>
            <w:hideMark/>
          </w:tcPr>
          <w:p w14:paraId="1DAB252D"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757805F6"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18E699F6"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Hospital Type</w:t>
            </w:r>
          </w:p>
        </w:tc>
        <w:tc>
          <w:tcPr>
            <w:tcW w:w="3364" w:type="dxa"/>
            <w:tcBorders>
              <w:top w:val="nil"/>
              <w:left w:val="nil"/>
              <w:bottom w:val="single" w:sz="4" w:space="0" w:color="auto"/>
              <w:right w:val="single" w:sz="4" w:space="0" w:color="auto"/>
            </w:tcBorders>
            <w:shd w:val="clear" w:color="auto" w:fill="auto"/>
            <w:hideMark/>
          </w:tcPr>
          <w:p w14:paraId="61AD1EA6" w14:textId="7015ECB4"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Acute Care Hospitals, Critical Access Hospitals, Children</w:t>
            </w:r>
            <w:r w:rsidR="00794A95" w:rsidRPr="000C7BB6">
              <w:rPr>
                <w:rFonts w:ascii="Calibri" w:eastAsia="Times New Roman" w:hAnsi="Calibri" w:cs="Calibri"/>
                <w:color w:val="000000"/>
                <w:sz w:val="20"/>
                <w:szCs w:val="20"/>
              </w:rPr>
              <w:t>’</w:t>
            </w:r>
            <w:r w:rsidRPr="00C84620">
              <w:rPr>
                <w:rFonts w:ascii="Calibri" w:eastAsia="Times New Roman" w:hAnsi="Calibri" w:cs="Calibri"/>
                <w:color w:val="000000"/>
                <w:sz w:val="20"/>
                <w:szCs w:val="20"/>
              </w:rPr>
              <w:t xml:space="preserve">s, Psychiatric, </w:t>
            </w:r>
            <w:proofErr w:type="spellStart"/>
            <w:r w:rsidRPr="00C84620">
              <w:rPr>
                <w:rFonts w:ascii="Calibri" w:eastAsia="Times New Roman" w:hAnsi="Calibri" w:cs="Calibri"/>
                <w:color w:val="000000"/>
                <w:sz w:val="20"/>
                <w:szCs w:val="20"/>
              </w:rPr>
              <w:t>etc</w:t>
            </w:r>
            <w:proofErr w:type="spellEnd"/>
          </w:p>
        </w:tc>
        <w:tc>
          <w:tcPr>
            <w:tcW w:w="3605" w:type="dxa"/>
            <w:tcBorders>
              <w:top w:val="nil"/>
              <w:left w:val="nil"/>
              <w:bottom w:val="single" w:sz="4" w:space="0" w:color="auto"/>
              <w:right w:val="single" w:sz="4" w:space="0" w:color="auto"/>
            </w:tcBorders>
            <w:shd w:val="clear" w:color="auto" w:fill="auto"/>
            <w:hideMark/>
          </w:tcPr>
          <w:p w14:paraId="497DAD8E"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05EB2BAA" w14:textId="77777777" w:rsidTr="00144A5A">
        <w:trPr>
          <w:trHeight w:val="831"/>
        </w:trPr>
        <w:tc>
          <w:tcPr>
            <w:tcW w:w="3224" w:type="dxa"/>
            <w:tcBorders>
              <w:top w:val="nil"/>
              <w:left w:val="single" w:sz="4" w:space="0" w:color="auto"/>
              <w:bottom w:val="single" w:sz="4" w:space="0" w:color="auto"/>
              <w:right w:val="single" w:sz="4" w:space="0" w:color="auto"/>
            </w:tcBorders>
            <w:shd w:val="clear" w:color="auto" w:fill="auto"/>
            <w:noWrap/>
            <w:hideMark/>
          </w:tcPr>
          <w:p w14:paraId="1889A55B"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Hospital Ownership</w:t>
            </w:r>
          </w:p>
        </w:tc>
        <w:tc>
          <w:tcPr>
            <w:tcW w:w="3364" w:type="dxa"/>
            <w:tcBorders>
              <w:top w:val="nil"/>
              <w:left w:val="nil"/>
              <w:bottom w:val="single" w:sz="4" w:space="0" w:color="auto"/>
              <w:right w:val="single" w:sz="4" w:space="0" w:color="auto"/>
            </w:tcBorders>
            <w:shd w:val="clear" w:color="auto" w:fill="auto"/>
            <w:hideMark/>
          </w:tcPr>
          <w:p w14:paraId="7399589D" w14:textId="7232CD19"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 xml:space="preserve">Various types of government owned, privately held and non-profit </w:t>
            </w:r>
            <w:r w:rsidR="000C7BB6" w:rsidRPr="00C84620">
              <w:rPr>
                <w:rFonts w:ascii="Calibri" w:eastAsia="Times New Roman" w:hAnsi="Calibri" w:cs="Calibri"/>
                <w:color w:val="000000"/>
                <w:sz w:val="20"/>
                <w:szCs w:val="20"/>
              </w:rPr>
              <w:t>entity</w:t>
            </w:r>
            <w:r w:rsidRPr="00C84620">
              <w:rPr>
                <w:rFonts w:ascii="Calibri" w:eastAsia="Times New Roman" w:hAnsi="Calibri" w:cs="Calibri"/>
                <w:color w:val="000000"/>
                <w:sz w:val="20"/>
                <w:szCs w:val="20"/>
              </w:rPr>
              <w:t xml:space="preserve"> types</w:t>
            </w:r>
          </w:p>
        </w:tc>
        <w:tc>
          <w:tcPr>
            <w:tcW w:w="3605" w:type="dxa"/>
            <w:tcBorders>
              <w:top w:val="nil"/>
              <w:left w:val="nil"/>
              <w:bottom w:val="single" w:sz="4" w:space="0" w:color="auto"/>
              <w:right w:val="single" w:sz="4" w:space="0" w:color="auto"/>
            </w:tcBorders>
            <w:shd w:val="clear" w:color="auto" w:fill="auto"/>
            <w:hideMark/>
          </w:tcPr>
          <w:p w14:paraId="5CE986F4"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01D42695" w14:textId="77777777" w:rsidTr="00144A5A">
        <w:trPr>
          <w:trHeight w:val="1939"/>
        </w:trPr>
        <w:tc>
          <w:tcPr>
            <w:tcW w:w="3224" w:type="dxa"/>
            <w:tcBorders>
              <w:top w:val="nil"/>
              <w:left w:val="single" w:sz="4" w:space="0" w:color="auto"/>
              <w:bottom w:val="single" w:sz="4" w:space="0" w:color="auto"/>
              <w:right w:val="single" w:sz="4" w:space="0" w:color="auto"/>
            </w:tcBorders>
            <w:shd w:val="clear" w:color="auto" w:fill="auto"/>
            <w:noWrap/>
            <w:hideMark/>
          </w:tcPr>
          <w:p w14:paraId="29F6D740"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Hospital overall rating</w:t>
            </w:r>
          </w:p>
        </w:tc>
        <w:tc>
          <w:tcPr>
            <w:tcW w:w="3364" w:type="dxa"/>
            <w:tcBorders>
              <w:top w:val="nil"/>
              <w:left w:val="nil"/>
              <w:bottom w:val="single" w:sz="4" w:space="0" w:color="auto"/>
              <w:right w:val="single" w:sz="4" w:space="0" w:color="auto"/>
            </w:tcBorders>
            <w:shd w:val="clear" w:color="auto" w:fill="auto"/>
            <w:hideMark/>
          </w:tcPr>
          <w:p w14:paraId="7DAC7874"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 five point scale based on a composite of measures, including mortality, safety, readmission, patient experience, and timely &amp; effective care.   5 is best, 1 is lowest rating.  Value not available for all providers.</w:t>
            </w:r>
          </w:p>
        </w:tc>
        <w:tc>
          <w:tcPr>
            <w:tcW w:w="3605" w:type="dxa"/>
            <w:tcBorders>
              <w:top w:val="nil"/>
              <w:left w:val="nil"/>
              <w:bottom w:val="single" w:sz="4" w:space="0" w:color="auto"/>
              <w:right w:val="single" w:sz="4" w:space="0" w:color="auto"/>
            </w:tcBorders>
            <w:shd w:val="clear" w:color="auto" w:fill="auto"/>
            <w:hideMark/>
          </w:tcPr>
          <w:p w14:paraId="5C9601E9"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4BA83652"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42D8DAED" w14:textId="77777777" w:rsidR="00C84620" w:rsidRPr="00C84620" w:rsidRDefault="00C84620"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census_region</w:t>
            </w:r>
            <w:proofErr w:type="spellEnd"/>
          </w:p>
        </w:tc>
        <w:tc>
          <w:tcPr>
            <w:tcW w:w="3364" w:type="dxa"/>
            <w:tcBorders>
              <w:top w:val="nil"/>
              <w:left w:val="nil"/>
              <w:bottom w:val="single" w:sz="4" w:space="0" w:color="auto"/>
              <w:right w:val="single" w:sz="4" w:space="0" w:color="auto"/>
            </w:tcBorders>
            <w:shd w:val="clear" w:color="auto" w:fill="auto"/>
            <w:hideMark/>
          </w:tcPr>
          <w:p w14:paraId="145383CE"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Mapped by state to census region</w:t>
            </w:r>
          </w:p>
        </w:tc>
        <w:tc>
          <w:tcPr>
            <w:tcW w:w="3605" w:type="dxa"/>
            <w:tcBorders>
              <w:top w:val="nil"/>
              <w:left w:val="nil"/>
              <w:bottom w:val="single" w:sz="4" w:space="0" w:color="auto"/>
              <w:right w:val="single" w:sz="4" w:space="0" w:color="auto"/>
            </w:tcBorders>
            <w:shd w:val="clear" w:color="auto" w:fill="auto"/>
            <w:hideMark/>
          </w:tcPr>
          <w:p w14:paraId="62F427D0"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Aligns to Census Region</w:t>
            </w:r>
          </w:p>
        </w:tc>
      </w:tr>
      <w:tr w:rsidR="00C84620" w:rsidRPr="00C84620" w14:paraId="041FB9F1"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0F38C6E0" w14:textId="77777777" w:rsidR="00C84620" w:rsidRPr="00C84620" w:rsidRDefault="00C84620"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census_division</w:t>
            </w:r>
            <w:proofErr w:type="spellEnd"/>
          </w:p>
        </w:tc>
        <w:tc>
          <w:tcPr>
            <w:tcW w:w="3364" w:type="dxa"/>
            <w:tcBorders>
              <w:top w:val="nil"/>
              <w:left w:val="nil"/>
              <w:bottom w:val="single" w:sz="4" w:space="0" w:color="auto"/>
              <w:right w:val="single" w:sz="4" w:space="0" w:color="auto"/>
            </w:tcBorders>
            <w:shd w:val="clear" w:color="auto" w:fill="auto"/>
            <w:hideMark/>
          </w:tcPr>
          <w:p w14:paraId="1032461C"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Mapped by state to census division</w:t>
            </w:r>
          </w:p>
        </w:tc>
        <w:tc>
          <w:tcPr>
            <w:tcW w:w="3605" w:type="dxa"/>
            <w:tcBorders>
              <w:top w:val="nil"/>
              <w:left w:val="nil"/>
              <w:bottom w:val="single" w:sz="4" w:space="0" w:color="auto"/>
              <w:right w:val="single" w:sz="4" w:space="0" w:color="auto"/>
            </w:tcBorders>
            <w:shd w:val="clear" w:color="auto" w:fill="auto"/>
            <w:hideMark/>
          </w:tcPr>
          <w:p w14:paraId="73B865A1"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Aligns to Census Division</w:t>
            </w:r>
          </w:p>
        </w:tc>
      </w:tr>
      <w:tr w:rsidR="00144A5A" w:rsidRPr="00C84620" w14:paraId="43BAA7B6"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502D0E1E" w14:textId="06E6BE1F" w:rsidR="00144A5A" w:rsidRPr="00C84620" w:rsidRDefault="00144A5A"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lastRenderedPageBreak/>
              <w:t>median_age</w:t>
            </w:r>
            <w:proofErr w:type="spellEnd"/>
          </w:p>
        </w:tc>
        <w:tc>
          <w:tcPr>
            <w:tcW w:w="3364" w:type="dxa"/>
            <w:tcBorders>
              <w:top w:val="nil"/>
              <w:left w:val="nil"/>
              <w:bottom w:val="single" w:sz="4" w:space="0" w:color="auto"/>
              <w:right w:val="single" w:sz="4" w:space="0" w:color="auto"/>
            </w:tcBorders>
            <w:shd w:val="clear" w:color="auto" w:fill="auto"/>
            <w:hideMark/>
          </w:tcPr>
          <w:p w14:paraId="6B837E3F" w14:textId="0DD7293A"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Median age in hospital zip</w:t>
            </w:r>
          </w:p>
        </w:tc>
        <w:tc>
          <w:tcPr>
            <w:tcW w:w="3605" w:type="dxa"/>
            <w:tcBorders>
              <w:top w:val="nil"/>
              <w:left w:val="nil"/>
              <w:bottom w:val="single" w:sz="4" w:space="0" w:color="auto"/>
              <w:right w:val="single" w:sz="4" w:space="0" w:color="auto"/>
            </w:tcBorders>
            <w:shd w:val="clear" w:color="auto" w:fill="auto"/>
            <w:hideMark/>
          </w:tcPr>
          <w:p w14:paraId="2E8F1F90" w14:textId="6FC1F132"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263BA00C"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6AC0C722" w14:textId="3A375E1A" w:rsidR="00144A5A" w:rsidRPr="00C84620" w:rsidRDefault="00144A5A"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per_white_non_hisp</w:t>
            </w:r>
            <w:proofErr w:type="spellEnd"/>
          </w:p>
        </w:tc>
        <w:tc>
          <w:tcPr>
            <w:tcW w:w="3364" w:type="dxa"/>
            <w:tcBorders>
              <w:top w:val="nil"/>
              <w:left w:val="nil"/>
              <w:bottom w:val="single" w:sz="4" w:space="0" w:color="auto"/>
              <w:right w:val="single" w:sz="4" w:space="0" w:color="auto"/>
            </w:tcBorders>
            <w:shd w:val="clear" w:color="auto" w:fill="auto"/>
            <w:hideMark/>
          </w:tcPr>
          <w:p w14:paraId="00A45147" w14:textId="23A27BFD"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Percentage of white, non-</w:t>
            </w:r>
            <w:proofErr w:type="spellStart"/>
            <w:r w:rsidRPr="00C84620">
              <w:rPr>
                <w:rFonts w:ascii="Calibri" w:eastAsia="Times New Roman" w:hAnsi="Calibri" w:cs="Calibri"/>
                <w:color w:val="000000"/>
                <w:sz w:val="20"/>
                <w:szCs w:val="20"/>
              </w:rPr>
              <w:t>hispanic</w:t>
            </w:r>
            <w:proofErr w:type="spellEnd"/>
            <w:r w:rsidRPr="00C84620">
              <w:rPr>
                <w:rFonts w:ascii="Calibri" w:eastAsia="Times New Roman" w:hAnsi="Calibri" w:cs="Calibri"/>
                <w:color w:val="000000"/>
                <w:sz w:val="20"/>
                <w:szCs w:val="20"/>
              </w:rPr>
              <w:t xml:space="preserve"> population in hospital zip</w:t>
            </w:r>
          </w:p>
        </w:tc>
        <w:tc>
          <w:tcPr>
            <w:tcW w:w="3605" w:type="dxa"/>
            <w:tcBorders>
              <w:top w:val="nil"/>
              <w:left w:val="nil"/>
              <w:bottom w:val="single" w:sz="4" w:space="0" w:color="auto"/>
              <w:right w:val="single" w:sz="4" w:space="0" w:color="auto"/>
            </w:tcBorders>
            <w:shd w:val="clear" w:color="auto" w:fill="auto"/>
            <w:hideMark/>
          </w:tcPr>
          <w:p w14:paraId="3ACEAFD0" w14:textId="35E32FFB"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565EEA73"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877B75D" w14:textId="122BB05B"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med_inc_15plus_12mo</w:t>
            </w:r>
          </w:p>
        </w:tc>
        <w:tc>
          <w:tcPr>
            <w:tcW w:w="3364" w:type="dxa"/>
            <w:tcBorders>
              <w:top w:val="nil"/>
              <w:left w:val="nil"/>
              <w:bottom w:val="single" w:sz="4" w:space="0" w:color="auto"/>
              <w:right w:val="single" w:sz="4" w:space="0" w:color="auto"/>
            </w:tcBorders>
            <w:shd w:val="clear" w:color="auto" w:fill="auto"/>
            <w:hideMark/>
          </w:tcPr>
          <w:p w14:paraId="03C23DCF" w14:textId="359C1A70"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Median income in last 12 months for individuals 15 or older in hospital zip</w:t>
            </w:r>
          </w:p>
        </w:tc>
        <w:tc>
          <w:tcPr>
            <w:tcW w:w="3605" w:type="dxa"/>
            <w:tcBorders>
              <w:top w:val="nil"/>
              <w:left w:val="nil"/>
              <w:bottom w:val="single" w:sz="4" w:space="0" w:color="auto"/>
              <w:right w:val="single" w:sz="4" w:space="0" w:color="auto"/>
            </w:tcBorders>
            <w:shd w:val="clear" w:color="auto" w:fill="auto"/>
            <w:hideMark/>
          </w:tcPr>
          <w:p w14:paraId="4DC9EB91" w14:textId="156EAAD7"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484D6DD1" w14:textId="77777777" w:rsidTr="00144A5A">
        <w:trPr>
          <w:trHeight w:val="831"/>
        </w:trPr>
        <w:tc>
          <w:tcPr>
            <w:tcW w:w="3224" w:type="dxa"/>
            <w:tcBorders>
              <w:top w:val="nil"/>
              <w:left w:val="single" w:sz="4" w:space="0" w:color="auto"/>
              <w:bottom w:val="single" w:sz="4" w:space="0" w:color="auto"/>
              <w:right w:val="single" w:sz="4" w:space="0" w:color="auto"/>
            </w:tcBorders>
            <w:shd w:val="clear" w:color="auto" w:fill="auto"/>
            <w:noWrap/>
            <w:hideMark/>
          </w:tcPr>
          <w:p w14:paraId="12551047" w14:textId="06AFD148" w:rsidR="00144A5A" w:rsidRPr="00C84620" w:rsidRDefault="00144A5A"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per_below_poverty</w:t>
            </w:r>
            <w:proofErr w:type="spellEnd"/>
          </w:p>
        </w:tc>
        <w:tc>
          <w:tcPr>
            <w:tcW w:w="3364" w:type="dxa"/>
            <w:tcBorders>
              <w:top w:val="nil"/>
              <w:left w:val="nil"/>
              <w:bottom w:val="single" w:sz="4" w:space="0" w:color="auto"/>
              <w:right w:val="single" w:sz="4" w:space="0" w:color="auto"/>
            </w:tcBorders>
            <w:shd w:val="clear" w:color="auto" w:fill="auto"/>
            <w:hideMark/>
          </w:tcPr>
          <w:p w14:paraId="645E26BE" w14:textId="6C964EE2"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Percent of population below poverty in hospital zip</w:t>
            </w:r>
          </w:p>
        </w:tc>
        <w:tc>
          <w:tcPr>
            <w:tcW w:w="3605" w:type="dxa"/>
            <w:tcBorders>
              <w:top w:val="nil"/>
              <w:left w:val="nil"/>
              <w:bottom w:val="single" w:sz="4" w:space="0" w:color="auto"/>
              <w:right w:val="single" w:sz="4" w:space="0" w:color="auto"/>
            </w:tcBorders>
            <w:shd w:val="clear" w:color="auto" w:fill="auto"/>
            <w:hideMark/>
          </w:tcPr>
          <w:p w14:paraId="0B0134A6" w14:textId="57C41316"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7E34ACE6"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D7AB687" w14:textId="30AF9474"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per_college_grad_deg_25_plus</w:t>
            </w:r>
          </w:p>
        </w:tc>
        <w:tc>
          <w:tcPr>
            <w:tcW w:w="3364" w:type="dxa"/>
            <w:tcBorders>
              <w:top w:val="nil"/>
              <w:left w:val="nil"/>
              <w:bottom w:val="single" w:sz="4" w:space="0" w:color="auto"/>
              <w:right w:val="single" w:sz="4" w:space="0" w:color="auto"/>
            </w:tcBorders>
            <w:shd w:val="clear" w:color="auto" w:fill="auto"/>
            <w:hideMark/>
          </w:tcPr>
          <w:p w14:paraId="47B93D72" w14:textId="35B08D25"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 xml:space="preserve">Percent of population who are 25 or older and have a college or </w:t>
            </w:r>
            <w:proofErr w:type="spellStart"/>
            <w:r w:rsidRPr="00C84620">
              <w:rPr>
                <w:rFonts w:ascii="Calibri" w:eastAsia="Times New Roman" w:hAnsi="Calibri" w:cs="Calibri"/>
                <w:color w:val="000000"/>
                <w:sz w:val="20"/>
                <w:szCs w:val="20"/>
              </w:rPr>
              <w:t>gradulate</w:t>
            </w:r>
            <w:proofErr w:type="spellEnd"/>
            <w:r w:rsidRPr="00C84620">
              <w:rPr>
                <w:rFonts w:ascii="Calibri" w:eastAsia="Times New Roman" w:hAnsi="Calibri" w:cs="Calibri"/>
                <w:color w:val="000000"/>
                <w:sz w:val="20"/>
                <w:szCs w:val="20"/>
              </w:rPr>
              <w:t xml:space="preserve"> level </w:t>
            </w:r>
            <w:proofErr w:type="spellStart"/>
            <w:r w:rsidRPr="00C84620">
              <w:rPr>
                <w:rFonts w:ascii="Calibri" w:eastAsia="Times New Roman" w:hAnsi="Calibri" w:cs="Calibri"/>
                <w:color w:val="000000"/>
                <w:sz w:val="20"/>
                <w:szCs w:val="20"/>
              </w:rPr>
              <w:t>degreee</w:t>
            </w:r>
            <w:proofErr w:type="spellEnd"/>
            <w:r w:rsidRPr="00C84620">
              <w:rPr>
                <w:rFonts w:ascii="Calibri" w:eastAsia="Times New Roman" w:hAnsi="Calibri" w:cs="Calibri"/>
                <w:color w:val="000000"/>
                <w:sz w:val="20"/>
                <w:szCs w:val="20"/>
              </w:rPr>
              <w:t>, within hospital zip</w:t>
            </w:r>
          </w:p>
        </w:tc>
        <w:tc>
          <w:tcPr>
            <w:tcW w:w="3605" w:type="dxa"/>
            <w:tcBorders>
              <w:top w:val="nil"/>
              <w:left w:val="nil"/>
              <w:bottom w:val="single" w:sz="4" w:space="0" w:color="auto"/>
              <w:right w:val="single" w:sz="4" w:space="0" w:color="auto"/>
            </w:tcBorders>
            <w:shd w:val="clear" w:color="auto" w:fill="auto"/>
            <w:hideMark/>
          </w:tcPr>
          <w:p w14:paraId="2877278A" w14:textId="5C7F38B8"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bl>
    <w:p w14:paraId="089D1B13" w14:textId="77777777" w:rsidR="00C84620" w:rsidRDefault="00C84620">
      <w:pPr>
        <w:rPr>
          <w:b/>
          <w:bCs/>
          <w:sz w:val="24"/>
          <w:szCs w:val="24"/>
        </w:rPr>
      </w:pPr>
      <w:r>
        <w:rPr>
          <w:b/>
          <w:bCs/>
          <w:sz w:val="24"/>
          <w:szCs w:val="24"/>
        </w:rPr>
        <w:br w:type="page"/>
      </w:r>
    </w:p>
    <w:p w14:paraId="096CB62D" w14:textId="753EE326" w:rsidR="00DC5D7B" w:rsidRPr="00E64032" w:rsidRDefault="00DC5D7B">
      <w:pPr>
        <w:rPr>
          <w:b/>
          <w:bCs/>
          <w:sz w:val="24"/>
          <w:szCs w:val="24"/>
        </w:rPr>
      </w:pPr>
      <w:proofErr w:type="spellStart"/>
      <w:r w:rsidRPr="00E64032">
        <w:rPr>
          <w:b/>
          <w:bCs/>
          <w:sz w:val="24"/>
          <w:szCs w:val="24"/>
        </w:rPr>
        <w:lastRenderedPageBreak/>
        <w:t>Bibtex</w:t>
      </w:r>
      <w:proofErr w:type="spellEnd"/>
      <w:r w:rsidRPr="00E64032">
        <w:rPr>
          <w:b/>
          <w:bCs/>
          <w:sz w:val="24"/>
          <w:szCs w:val="24"/>
        </w:rPr>
        <w:t xml:space="preserve"> File Start:</w:t>
      </w:r>
    </w:p>
    <w:p w14:paraId="5F471ED6" w14:textId="77777777" w:rsidR="00E64032" w:rsidRDefault="00E64032" w:rsidP="00DC5D7B">
      <w:pPr>
        <w:rPr>
          <w:b/>
          <w:bCs/>
        </w:rPr>
      </w:pPr>
    </w:p>
    <w:p w14:paraId="2A95A51B" w14:textId="143563EC" w:rsidR="00DC5D7B" w:rsidRDefault="00DC5D7B" w:rsidP="00DC5D7B">
      <w:pPr>
        <w:rPr>
          <w:b/>
          <w:bCs/>
        </w:rPr>
      </w:pPr>
      <w:r>
        <w:rPr>
          <w:b/>
          <w:bCs/>
        </w:rPr>
        <w:t>List of References:</w:t>
      </w:r>
    </w:p>
    <w:p w14:paraId="49EBBE98" w14:textId="77777777" w:rsidR="00DC5D7B" w:rsidRDefault="00DC5D7B" w:rsidP="00DC5D7B">
      <w:pPr>
        <w:spacing w:after="0"/>
      </w:pPr>
    </w:p>
    <w:p w14:paraId="73FBB97D" w14:textId="77777777" w:rsidR="00DC5D7B" w:rsidRDefault="00DC5D7B" w:rsidP="00DC5D7B">
      <w:r w:rsidRPr="00C95150">
        <w:t xml:space="preserve">@article{ </w:t>
      </w:r>
      <w:hyperlink r:id="rId16" w:history="1">
        <w:r w:rsidRPr="00287B60">
          <w:rPr>
            <w:rStyle w:val="Hyperlink"/>
          </w:rPr>
          <w:t>https://www.cms.gov/about-cms/agencyAc-information/omh/health-equity-programs/cms-framework-for-health-equity</w:t>
        </w:r>
      </w:hyperlink>
      <w:r>
        <w:t xml:space="preserve">, </w:t>
      </w:r>
      <w:r>
        <w:br/>
        <w:t xml:space="preserve">author = {Centers for Medicare and Medicaid Services}, </w:t>
      </w:r>
    </w:p>
    <w:p w14:paraId="1B07DC4F" w14:textId="77777777" w:rsidR="00DC5D7B" w:rsidRDefault="00DC5D7B" w:rsidP="00DC5D7B">
      <w:r>
        <w:t>title = {</w:t>
      </w:r>
    </w:p>
    <w:p w14:paraId="179B8BC2" w14:textId="77777777" w:rsidR="00DC5D7B" w:rsidRDefault="00DC5D7B" w:rsidP="00DC5D7B">
      <w:pPr>
        <w:spacing w:after="0"/>
      </w:pPr>
      <w:r>
        <w:t>}</w:t>
      </w:r>
    </w:p>
    <w:p w14:paraId="454D48C6" w14:textId="77777777" w:rsidR="00DC5D7B" w:rsidRDefault="00DC5D7B" w:rsidP="00DC5D7B">
      <w:pPr>
        <w:spacing w:after="0"/>
      </w:pPr>
    </w:p>
    <w:p w14:paraId="40EDAFB8" w14:textId="77777777" w:rsidR="00DC5D7B" w:rsidRPr="00C95150" w:rsidRDefault="00DC5D7B" w:rsidP="00DC5D7B">
      <w:pPr>
        <w:spacing w:after="0"/>
      </w:pPr>
      <w:r w:rsidRPr="00C95150">
        <w:t>@</w:t>
      </w:r>
      <w:proofErr w:type="gramStart"/>
      <w:r w:rsidRPr="00C95150">
        <w:t>article{</w:t>
      </w:r>
      <w:proofErr w:type="gramEnd"/>
      <w:r w:rsidRPr="00C95150">
        <w:t>doi:10.1177/00333549141291S206,</w:t>
      </w:r>
    </w:p>
    <w:p w14:paraId="797AECDF" w14:textId="77777777" w:rsidR="00DC5D7B" w:rsidRPr="00C95150" w:rsidRDefault="00DC5D7B" w:rsidP="00DC5D7B">
      <w:pPr>
        <w:spacing w:after="0"/>
      </w:pPr>
      <w:r w:rsidRPr="00C95150">
        <w:t xml:space="preserve">author = {Paula </w:t>
      </w:r>
      <w:proofErr w:type="spellStart"/>
      <w:r w:rsidRPr="00C95150">
        <w:t>Braveman</w:t>
      </w:r>
      <w:proofErr w:type="spellEnd"/>
      <w:r w:rsidRPr="00C95150">
        <w:t xml:space="preserve"> and Laura Gottlieb},</w:t>
      </w:r>
    </w:p>
    <w:p w14:paraId="7BDE2EB4" w14:textId="77777777" w:rsidR="00DC5D7B" w:rsidRPr="00C95150" w:rsidRDefault="00DC5D7B" w:rsidP="00DC5D7B">
      <w:pPr>
        <w:spacing w:after="0"/>
      </w:pPr>
      <w:r w:rsidRPr="00C95150">
        <w:t xml:space="preserve">title </w:t>
      </w:r>
      <w:proofErr w:type="gramStart"/>
      <w:r w:rsidRPr="00C95150">
        <w:t>={</w:t>
      </w:r>
      <w:proofErr w:type="gramEnd"/>
      <w:r w:rsidRPr="00C95150">
        <w:t>The Social Determinants of Health: It's Time to Consider the Causes of the Causes},</w:t>
      </w:r>
    </w:p>
    <w:p w14:paraId="15B2ADCC" w14:textId="77777777" w:rsidR="00DC5D7B" w:rsidRPr="00C95150" w:rsidRDefault="00DC5D7B" w:rsidP="00DC5D7B">
      <w:pPr>
        <w:spacing w:after="0"/>
      </w:pPr>
      <w:r w:rsidRPr="00C95150">
        <w:t>journal = {Public Health Reports},</w:t>
      </w:r>
    </w:p>
    <w:p w14:paraId="02C22F13" w14:textId="77777777" w:rsidR="00DC5D7B" w:rsidRPr="00C95150" w:rsidRDefault="00DC5D7B" w:rsidP="00DC5D7B">
      <w:pPr>
        <w:spacing w:after="0"/>
      </w:pPr>
      <w:r w:rsidRPr="00C95150">
        <w:t>volume = {129},</w:t>
      </w:r>
    </w:p>
    <w:p w14:paraId="6E9495B6" w14:textId="77777777" w:rsidR="00DC5D7B" w:rsidRPr="00C95150" w:rsidRDefault="00DC5D7B" w:rsidP="00DC5D7B">
      <w:pPr>
        <w:spacing w:after="0"/>
      </w:pPr>
      <w:r w:rsidRPr="00C95150">
        <w:t>number = {1\_suppl2},</w:t>
      </w:r>
    </w:p>
    <w:p w14:paraId="55404E98" w14:textId="77777777" w:rsidR="00DC5D7B" w:rsidRPr="00C95150" w:rsidRDefault="00DC5D7B" w:rsidP="00DC5D7B">
      <w:pPr>
        <w:spacing w:after="0"/>
      </w:pPr>
      <w:r w:rsidRPr="00C95150">
        <w:t>pages = {19-31},</w:t>
      </w:r>
    </w:p>
    <w:p w14:paraId="1F140825" w14:textId="77777777" w:rsidR="00DC5D7B" w:rsidRPr="00C95150" w:rsidRDefault="00DC5D7B" w:rsidP="00DC5D7B">
      <w:pPr>
        <w:spacing w:after="0"/>
      </w:pPr>
      <w:r w:rsidRPr="00C95150">
        <w:t>year = {2014},</w:t>
      </w:r>
    </w:p>
    <w:p w14:paraId="5E892EA2" w14:textId="77777777" w:rsidR="00DC5D7B" w:rsidRPr="00C95150" w:rsidRDefault="00DC5D7B" w:rsidP="00DC5D7B">
      <w:pPr>
        <w:spacing w:after="0"/>
      </w:pPr>
      <w:proofErr w:type="spellStart"/>
      <w:r w:rsidRPr="00C95150">
        <w:t>doi</w:t>
      </w:r>
      <w:proofErr w:type="spellEnd"/>
      <w:r w:rsidRPr="00C95150">
        <w:t xml:space="preserve"> = {10.1177/00333549141291S206},</w:t>
      </w:r>
    </w:p>
    <w:p w14:paraId="4FCEE9B9" w14:textId="77777777" w:rsidR="00DC5D7B" w:rsidRPr="00C95150" w:rsidRDefault="00DC5D7B" w:rsidP="00DC5D7B">
      <w:pPr>
        <w:spacing w:after="0"/>
      </w:pPr>
      <w:r w:rsidRPr="00C95150">
        <w:t xml:space="preserve">    note </w:t>
      </w:r>
      <w:proofErr w:type="gramStart"/>
      <w:r w:rsidRPr="00C95150">
        <w:t>={</w:t>
      </w:r>
      <w:proofErr w:type="gramEnd"/>
      <w:r w:rsidRPr="00C95150">
        <w:t>PMID: 24385661},</w:t>
      </w:r>
    </w:p>
    <w:p w14:paraId="4FE93520" w14:textId="77777777" w:rsidR="00DC5D7B" w:rsidRPr="00C95150" w:rsidRDefault="00DC5D7B" w:rsidP="00DC5D7B">
      <w:pPr>
        <w:spacing w:after="0"/>
      </w:pPr>
    </w:p>
    <w:p w14:paraId="40A7DB13" w14:textId="77777777" w:rsidR="00DC5D7B" w:rsidRPr="00C95150" w:rsidRDefault="00DC5D7B" w:rsidP="00DC5D7B">
      <w:pPr>
        <w:spacing w:after="0"/>
      </w:pPr>
      <w:r w:rsidRPr="00C95150">
        <w:t xml:space="preserve">URL = { </w:t>
      </w:r>
    </w:p>
    <w:p w14:paraId="028C4890" w14:textId="77777777" w:rsidR="00DC5D7B" w:rsidRPr="00C95150" w:rsidRDefault="00DC5D7B" w:rsidP="00DC5D7B">
      <w:pPr>
        <w:spacing w:after="0"/>
      </w:pPr>
      <w:r w:rsidRPr="00C95150">
        <w:t xml:space="preserve">        https://doi.org/10.1177/00333549141291S206</w:t>
      </w:r>
    </w:p>
    <w:p w14:paraId="5AC87BED" w14:textId="77777777" w:rsidR="00DC5D7B" w:rsidRPr="00C95150" w:rsidRDefault="00DC5D7B" w:rsidP="00DC5D7B">
      <w:pPr>
        <w:spacing w:after="0"/>
      </w:pPr>
      <w:r w:rsidRPr="00C95150">
        <w:t xml:space="preserve">    </w:t>
      </w:r>
    </w:p>
    <w:p w14:paraId="5847151B" w14:textId="77777777" w:rsidR="00DC5D7B" w:rsidRPr="00C95150" w:rsidRDefault="00DC5D7B" w:rsidP="00DC5D7B">
      <w:pPr>
        <w:spacing w:after="0"/>
      </w:pPr>
      <w:r w:rsidRPr="00C95150">
        <w:t>},</w:t>
      </w:r>
    </w:p>
    <w:p w14:paraId="3A018DC4" w14:textId="77777777" w:rsidR="00DC5D7B" w:rsidRPr="00C95150" w:rsidRDefault="00DC5D7B" w:rsidP="00DC5D7B">
      <w:pPr>
        <w:spacing w:after="0"/>
      </w:pPr>
      <w:proofErr w:type="spellStart"/>
      <w:r w:rsidRPr="00C95150">
        <w:t>eprint</w:t>
      </w:r>
      <w:proofErr w:type="spellEnd"/>
      <w:r w:rsidRPr="00C95150">
        <w:t xml:space="preserve"> = { </w:t>
      </w:r>
    </w:p>
    <w:p w14:paraId="68A873B0" w14:textId="77777777" w:rsidR="00DC5D7B" w:rsidRPr="00C95150" w:rsidRDefault="00DC5D7B" w:rsidP="00DC5D7B">
      <w:pPr>
        <w:spacing w:after="0"/>
      </w:pPr>
      <w:r w:rsidRPr="00C95150">
        <w:t xml:space="preserve">        https://doi.org/10.1177/00333549141291S206</w:t>
      </w:r>
    </w:p>
    <w:p w14:paraId="216B1ED3" w14:textId="77777777" w:rsidR="00DC5D7B" w:rsidRPr="00C95150" w:rsidRDefault="00DC5D7B" w:rsidP="00DC5D7B">
      <w:pPr>
        <w:spacing w:after="0"/>
      </w:pPr>
      <w:r w:rsidRPr="00C95150">
        <w:t xml:space="preserve">    </w:t>
      </w:r>
    </w:p>
    <w:p w14:paraId="258A501B" w14:textId="77777777" w:rsidR="00DC5D7B" w:rsidRPr="00C95150" w:rsidRDefault="00DC5D7B" w:rsidP="00DC5D7B">
      <w:pPr>
        <w:spacing w:after="0"/>
      </w:pPr>
      <w:r w:rsidRPr="00C95150">
        <w:t>}</w:t>
      </w:r>
    </w:p>
    <w:p w14:paraId="462FF247" w14:textId="77777777" w:rsidR="00DC5D7B" w:rsidRPr="00C95150" w:rsidRDefault="00DC5D7B" w:rsidP="00DC5D7B">
      <w:pPr>
        <w:spacing w:after="0"/>
      </w:pPr>
      <w:r w:rsidRPr="00C95150">
        <w:t>,</w:t>
      </w:r>
    </w:p>
    <w:p w14:paraId="386E58CC" w14:textId="77777777" w:rsidR="00DC5D7B" w:rsidRPr="00C95150" w:rsidRDefault="00DC5D7B" w:rsidP="00DC5D7B">
      <w:pPr>
        <w:spacing w:after="0"/>
      </w:pPr>
      <w:r w:rsidRPr="00C95150">
        <w:t xml:space="preserve">    abstract = </w:t>
      </w:r>
      <w:proofErr w:type="gramStart"/>
      <w:r w:rsidRPr="00C95150">
        <w:t>{ During</w:t>
      </w:r>
      <w:proofErr w:type="gramEnd"/>
      <w:r w:rsidRPr="00C95150">
        <w:t xml:space="preserve"> the past two decades, the public health community's attention has been drawn increasingly to the social determinants of health (SDH)—the factors apart from medical care that can be influenced by social policies and shape health in powerful ways. We use “medical care” rather than “health care” to refer to clinical services, to avoid potential confusion between “health” and “health care.” The World Health Organization's Commission on the Social Determinants of Health has defined SDH as “the conditions in which people are born, grow, live, work and age” and “the fundamental drivers of these conditions.” The term “social determinants” often evokes factors such as health-related features of neighborhoods (e g., walkability, recreational areas, and accessibility of healthful foods), which can influence health-related behaviors. Evidence has accumulated, however, pointing to socioeconomic factors such as income, wealth, and education as the fundamental causes of a wide range of health outcomes This article broadly reviews some of the knowledge accumulated to date that </w:t>
      </w:r>
      <w:r w:rsidRPr="00C95150">
        <w:lastRenderedPageBreak/>
        <w:t>highlights the importance of social—and particularly socioeconomic—factors in shaping health, and plausible pathways and biological mechanisms that may explain their effects. We also discuss challenges to advancing this knowledge and how they might be overcome</w:t>
      </w:r>
      <w:proofErr w:type="gramStart"/>
      <w:r w:rsidRPr="00C95150">
        <w:t>. }</w:t>
      </w:r>
      <w:proofErr w:type="gramEnd"/>
    </w:p>
    <w:p w14:paraId="7C515D20" w14:textId="77777777" w:rsidR="00DC5D7B" w:rsidRPr="00C95150" w:rsidRDefault="00DC5D7B" w:rsidP="00DC5D7B">
      <w:pPr>
        <w:spacing w:after="0"/>
      </w:pPr>
      <w:r w:rsidRPr="00C95150">
        <w:t>}</w:t>
      </w:r>
    </w:p>
    <w:p w14:paraId="586E9EB7" w14:textId="77777777" w:rsidR="00DC5D7B" w:rsidRPr="00C95150" w:rsidRDefault="00DC5D7B" w:rsidP="00DC5D7B">
      <w:pPr>
        <w:rPr>
          <w:b/>
          <w:bCs/>
        </w:rPr>
      </w:pPr>
    </w:p>
    <w:p w14:paraId="188E0277" w14:textId="48040556" w:rsidR="003E40A2" w:rsidRDefault="003E40A2"/>
    <w:sectPr w:rsidR="003E4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C3A0" w14:textId="77777777" w:rsidR="003748BB" w:rsidRDefault="003748BB" w:rsidP="00E64032">
      <w:pPr>
        <w:spacing w:after="0" w:line="240" w:lineRule="auto"/>
      </w:pPr>
      <w:r>
        <w:separator/>
      </w:r>
    </w:p>
  </w:endnote>
  <w:endnote w:type="continuationSeparator" w:id="0">
    <w:p w14:paraId="385AA4F7" w14:textId="77777777" w:rsidR="003748BB" w:rsidRDefault="003748BB" w:rsidP="00E6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0A95" w14:textId="77777777" w:rsidR="003748BB" w:rsidRDefault="003748BB" w:rsidP="00E64032">
      <w:pPr>
        <w:spacing w:after="0" w:line="240" w:lineRule="auto"/>
      </w:pPr>
      <w:r>
        <w:separator/>
      </w:r>
    </w:p>
  </w:footnote>
  <w:footnote w:type="continuationSeparator" w:id="0">
    <w:p w14:paraId="22440977" w14:textId="77777777" w:rsidR="003748BB" w:rsidRDefault="003748BB" w:rsidP="00E6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CA"/>
    <w:multiLevelType w:val="multilevel"/>
    <w:tmpl w:val="DE5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41049"/>
    <w:multiLevelType w:val="multilevel"/>
    <w:tmpl w:val="C8D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1259D"/>
    <w:multiLevelType w:val="multilevel"/>
    <w:tmpl w:val="48A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0350F"/>
    <w:multiLevelType w:val="multilevel"/>
    <w:tmpl w:val="58C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C6C93"/>
    <w:multiLevelType w:val="multilevel"/>
    <w:tmpl w:val="1E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0149"/>
    <w:multiLevelType w:val="multilevel"/>
    <w:tmpl w:val="D876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47BD1"/>
    <w:multiLevelType w:val="multilevel"/>
    <w:tmpl w:val="A1F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BB2"/>
    <w:multiLevelType w:val="multilevel"/>
    <w:tmpl w:val="6D4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26CF8"/>
    <w:multiLevelType w:val="multilevel"/>
    <w:tmpl w:val="60F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4369"/>
    <w:multiLevelType w:val="multilevel"/>
    <w:tmpl w:val="C49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935B7"/>
    <w:multiLevelType w:val="multilevel"/>
    <w:tmpl w:val="F83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F7609"/>
    <w:multiLevelType w:val="multilevel"/>
    <w:tmpl w:val="F2D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4DA5"/>
    <w:multiLevelType w:val="hybridMultilevel"/>
    <w:tmpl w:val="1F40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C16E6"/>
    <w:multiLevelType w:val="multilevel"/>
    <w:tmpl w:val="2FA8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954D6"/>
    <w:multiLevelType w:val="multilevel"/>
    <w:tmpl w:val="E0F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D157F"/>
    <w:multiLevelType w:val="hybridMultilevel"/>
    <w:tmpl w:val="9986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6184D"/>
    <w:multiLevelType w:val="multilevel"/>
    <w:tmpl w:val="01D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37A8C"/>
    <w:multiLevelType w:val="multilevel"/>
    <w:tmpl w:val="49C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87587"/>
    <w:multiLevelType w:val="multilevel"/>
    <w:tmpl w:val="1FC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7E2F"/>
    <w:multiLevelType w:val="multilevel"/>
    <w:tmpl w:val="455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3768F"/>
    <w:multiLevelType w:val="multilevel"/>
    <w:tmpl w:val="165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443420">
    <w:abstractNumId w:val="18"/>
  </w:num>
  <w:num w:numId="2" w16cid:durableId="1778137235">
    <w:abstractNumId w:val="19"/>
  </w:num>
  <w:num w:numId="3" w16cid:durableId="423769774">
    <w:abstractNumId w:val="6"/>
  </w:num>
  <w:num w:numId="4" w16cid:durableId="1668559640">
    <w:abstractNumId w:val="8"/>
  </w:num>
  <w:num w:numId="5" w16cid:durableId="1660767738">
    <w:abstractNumId w:val="11"/>
  </w:num>
  <w:num w:numId="6" w16cid:durableId="761414775">
    <w:abstractNumId w:val="4"/>
  </w:num>
  <w:num w:numId="7" w16cid:durableId="1231578143">
    <w:abstractNumId w:val="3"/>
  </w:num>
  <w:num w:numId="8" w16cid:durableId="1255019802">
    <w:abstractNumId w:val="5"/>
  </w:num>
  <w:num w:numId="9" w16cid:durableId="1143700261">
    <w:abstractNumId w:val="10"/>
  </w:num>
  <w:num w:numId="10" w16cid:durableId="121927265">
    <w:abstractNumId w:val="14"/>
  </w:num>
  <w:num w:numId="11" w16cid:durableId="1040976589">
    <w:abstractNumId w:val="17"/>
  </w:num>
  <w:num w:numId="12" w16cid:durableId="2061660378">
    <w:abstractNumId w:val="1"/>
  </w:num>
  <w:num w:numId="13" w16cid:durableId="786243253">
    <w:abstractNumId w:val="9"/>
  </w:num>
  <w:num w:numId="14" w16cid:durableId="1294097234">
    <w:abstractNumId w:val="2"/>
  </w:num>
  <w:num w:numId="15" w16cid:durableId="621038267">
    <w:abstractNumId w:val="16"/>
  </w:num>
  <w:num w:numId="16" w16cid:durableId="1020467673">
    <w:abstractNumId w:val="7"/>
  </w:num>
  <w:num w:numId="17" w16cid:durableId="1381979266">
    <w:abstractNumId w:val="20"/>
  </w:num>
  <w:num w:numId="18" w16cid:durableId="1346327966">
    <w:abstractNumId w:val="0"/>
  </w:num>
  <w:num w:numId="19" w16cid:durableId="1522086880">
    <w:abstractNumId w:val="13"/>
  </w:num>
  <w:num w:numId="20" w16cid:durableId="103774791">
    <w:abstractNumId w:val="15"/>
  </w:num>
  <w:num w:numId="21" w16cid:durableId="8753118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7B"/>
    <w:rsid w:val="00026F9F"/>
    <w:rsid w:val="00036CD2"/>
    <w:rsid w:val="00053B2A"/>
    <w:rsid w:val="00054274"/>
    <w:rsid w:val="00084432"/>
    <w:rsid w:val="000B23EA"/>
    <w:rsid w:val="000C7BB6"/>
    <w:rsid w:val="00144A5A"/>
    <w:rsid w:val="00223A78"/>
    <w:rsid w:val="00245DE9"/>
    <w:rsid w:val="0025006E"/>
    <w:rsid w:val="002568B1"/>
    <w:rsid w:val="00261C7B"/>
    <w:rsid w:val="00291DD1"/>
    <w:rsid w:val="002C66AB"/>
    <w:rsid w:val="002F5D81"/>
    <w:rsid w:val="0031236E"/>
    <w:rsid w:val="00331DA4"/>
    <w:rsid w:val="00334197"/>
    <w:rsid w:val="003748BB"/>
    <w:rsid w:val="003C2DB7"/>
    <w:rsid w:val="003C7A83"/>
    <w:rsid w:val="003D6837"/>
    <w:rsid w:val="003E40A2"/>
    <w:rsid w:val="00414895"/>
    <w:rsid w:val="00420F57"/>
    <w:rsid w:val="004220D1"/>
    <w:rsid w:val="00435A35"/>
    <w:rsid w:val="004825F4"/>
    <w:rsid w:val="004A5370"/>
    <w:rsid w:val="004B29CA"/>
    <w:rsid w:val="0052273B"/>
    <w:rsid w:val="0054649E"/>
    <w:rsid w:val="00563E8A"/>
    <w:rsid w:val="005A548D"/>
    <w:rsid w:val="005C31A3"/>
    <w:rsid w:val="005E3CCA"/>
    <w:rsid w:val="005E5965"/>
    <w:rsid w:val="006021AC"/>
    <w:rsid w:val="0065446E"/>
    <w:rsid w:val="00665D15"/>
    <w:rsid w:val="006731F8"/>
    <w:rsid w:val="006974A2"/>
    <w:rsid w:val="006B7CD6"/>
    <w:rsid w:val="00736D0D"/>
    <w:rsid w:val="00755439"/>
    <w:rsid w:val="00794A95"/>
    <w:rsid w:val="007B3227"/>
    <w:rsid w:val="007C2EF7"/>
    <w:rsid w:val="007C5CEB"/>
    <w:rsid w:val="007E13CD"/>
    <w:rsid w:val="007F08D1"/>
    <w:rsid w:val="00811320"/>
    <w:rsid w:val="00813885"/>
    <w:rsid w:val="008155ED"/>
    <w:rsid w:val="00820038"/>
    <w:rsid w:val="008B3FE5"/>
    <w:rsid w:val="008B6DF3"/>
    <w:rsid w:val="0094349E"/>
    <w:rsid w:val="009721C8"/>
    <w:rsid w:val="009747D1"/>
    <w:rsid w:val="00980004"/>
    <w:rsid w:val="00990FB7"/>
    <w:rsid w:val="00993F8D"/>
    <w:rsid w:val="009A52D4"/>
    <w:rsid w:val="009E2E19"/>
    <w:rsid w:val="009F2C6A"/>
    <w:rsid w:val="00A00C2E"/>
    <w:rsid w:val="00A225D6"/>
    <w:rsid w:val="00A23F53"/>
    <w:rsid w:val="00A34447"/>
    <w:rsid w:val="00A7114D"/>
    <w:rsid w:val="00A77DC3"/>
    <w:rsid w:val="00AD2E38"/>
    <w:rsid w:val="00AE08A9"/>
    <w:rsid w:val="00AE3E4D"/>
    <w:rsid w:val="00AF1A97"/>
    <w:rsid w:val="00B464C2"/>
    <w:rsid w:val="00B51923"/>
    <w:rsid w:val="00B53F5D"/>
    <w:rsid w:val="00B653DB"/>
    <w:rsid w:val="00B84945"/>
    <w:rsid w:val="00C45A71"/>
    <w:rsid w:val="00C84620"/>
    <w:rsid w:val="00C95150"/>
    <w:rsid w:val="00CA55C3"/>
    <w:rsid w:val="00CA6111"/>
    <w:rsid w:val="00CD7290"/>
    <w:rsid w:val="00CE73BE"/>
    <w:rsid w:val="00CF3A20"/>
    <w:rsid w:val="00D930D5"/>
    <w:rsid w:val="00DC5D7B"/>
    <w:rsid w:val="00E249C0"/>
    <w:rsid w:val="00E64032"/>
    <w:rsid w:val="00EE0852"/>
    <w:rsid w:val="00F206C9"/>
    <w:rsid w:val="00F22EDD"/>
    <w:rsid w:val="00F2603F"/>
    <w:rsid w:val="00F271E5"/>
    <w:rsid w:val="00F326CA"/>
    <w:rsid w:val="00F75DEC"/>
    <w:rsid w:val="00F7687D"/>
    <w:rsid w:val="00FD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4898"/>
  <w15:chartTrackingRefBased/>
  <w15:docId w15:val="{BBAC5CF2-137B-4B1A-A932-98C460E5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C7B"/>
    <w:rPr>
      <w:color w:val="0000FF"/>
      <w:u w:val="single"/>
    </w:rPr>
  </w:style>
  <w:style w:type="character" w:styleId="UnresolvedMention">
    <w:name w:val="Unresolved Mention"/>
    <w:basedOn w:val="DefaultParagraphFont"/>
    <w:uiPriority w:val="99"/>
    <w:semiHidden/>
    <w:unhideWhenUsed/>
    <w:rsid w:val="006974A2"/>
    <w:rPr>
      <w:color w:val="605E5C"/>
      <w:shd w:val="clear" w:color="auto" w:fill="E1DFDD"/>
    </w:rPr>
  </w:style>
  <w:style w:type="paragraph" w:styleId="ListParagraph">
    <w:name w:val="List Paragraph"/>
    <w:basedOn w:val="Normal"/>
    <w:uiPriority w:val="34"/>
    <w:qFormat/>
    <w:rsid w:val="006974A2"/>
    <w:pPr>
      <w:ind w:left="720"/>
      <w:contextualSpacing/>
    </w:pPr>
  </w:style>
  <w:style w:type="character" w:customStyle="1" w:styleId="Heading1Char">
    <w:name w:val="Heading 1 Char"/>
    <w:basedOn w:val="DefaultParagraphFont"/>
    <w:link w:val="Heading1"/>
    <w:uiPriority w:val="9"/>
    <w:rsid w:val="003E40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4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0A2"/>
    <w:rPr>
      <w:b/>
      <w:bCs/>
    </w:rPr>
  </w:style>
  <w:style w:type="character" w:styleId="Emphasis">
    <w:name w:val="Emphasis"/>
    <w:basedOn w:val="DefaultParagraphFont"/>
    <w:uiPriority w:val="20"/>
    <w:qFormat/>
    <w:rsid w:val="003E40A2"/>
    <w:rPr>
      <w:i/>
      <w:iCs/>
    </w:rPr>
  </w:style>
  <w:style w:type="character" w:styleId="FollowedHyperlink">
    <w:name w:val="FollowedHyperlink"/>
    <w:basedOn w:val="DefaultParagraphFont"/>
    <w:uiPriority w:val="99"/>
    <w:semiHidden/>
    <w:unhideWhenUsed/>
    <w:rsid w:val="0094349E"/>
    <w:rPr>
      <w:color w:val="954F72" w:themeColor="followedHyperlink"/>
      <w:u w:val="single"/>
    </w:rPr>
  </w:style>
  <w:style w:type="paragraph" w:styleId="Header">
    <w:name w:val="header"/>
    <w:basedOn w:val="Normal"/>
    <w:link w:val="HeaderChar"/>
    <w:uiPriority w:val="99"/>
    <w:unhideWhenUsed/>
    <w:rsid w:val="00E6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032"/>
  </w:style>
  <w:style w:type="paragraph" w:styleId="Footer">
    <w:name w:val="footer"/>
    <w:basedOn w:val="Normal"/>
    <w:link w:val="FooterChar"/>
    <w:uiPriority w:val="99"/>
    <w:unhideWhenUsed/>
    <w:rsid w:val="00E6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032"/>
  </w:style>
  <w:style w:type="paragraph" w:styleId="NoSpacing">
    <w:name w:val="No Spacing"/>
    <w:uiPriority w:val="1"/>
    <w:qFormat/>
    <w:rsid w:val="007C2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130705">
      <w:bodyDiv w:val="1"/>
      <w:marLeft w:val="0"/>
      <w:marRight w:val="0"/>
      <w:marTop w:val="0"/>
      <w:marBottom w:val="0"/>
      <w:divBdr>
        <w:top w:val="none" w:sz="0" w:space="0" w:color="auto"/>
        <w:left w:val="none" w:sz="0" w:space="0" w:color="auto"/>
        <w:bottom w:val="none" w:sz="0" w:space="0" w:color="auto"/>
        <w:right w:val="none" w:sz="0" w:space="0" w:color="auto"/>
      </w:divBdr>
    </w:div>
    <w:div w:id="1428312531">
      <w:bodyDiv w:val="1"/>
      <w:marLeft w:val="0"/>
      <w:marRight w:val="0"/>
      <w:marTop w:val="0"/>
      <w:marBottom w:val="0"/>
      <w:divBdr>
        <w:top w:val="none" w:sz="0" w:space="0" w:color="auto"/>
        <w:left w:val="none" w:sz="0" w:space="0" w:color="auto"/>
        <w:bottom w:val="none" w:sz="0" w:space="0" w:color="auto"/>
        <w:right w:val="none" w:sz="0" w:space="0" w:color="auto"/>
      </w:divBdr>
    </w:div>
    <w:div w:id="1461915486">
      <w:bodyDiv w:val="1"/>
      <w:marLeft w:val="0"/>
      <w:marRight w:val="0"/>
      <w:marTop w:val="0"/>
      <w:marBottom w:val="0"/>
      <w:divBdr>
        <w:top w:val="none" w:sz="0" w:space="0" w:color="auto"/>
        <w:left w:val="none" w:sz="0" w:space="0" w:color="auto"/>
        <w:bottom w:val="none" w:sz="0" w:space="0" w:color="auto"/>
        <w:right w:val="none" w:sz="0" w:space="0" w:color="auto"/>
      </w:divBdr>
    </w:div>
    <w:div w:id="1590506231">
      <w:bodyDiv w:val="1"/>
      <w:marLeft w:val="0"/>
      <w:marRight w:val="0"/>
      <w:marTop w:val="0"/>
      <w:marBottom w:val="0"/>
      <w:divBdr>
        <w:top w:val="none" w:sz="0" w:space="0" w:color="auto"/>
        <w:left w:val="none" w:sz="0" w:space="0" w:color="auto"/>
        <w:bottom w:val="none" w:sz="0" w:space="0" w:color="auto"/>
        <w:right w:val="none" w:sz="0" w:space="0" w:color="auto"/>
      </w:divBdr>
      <w:divsChild>
        <w:div w:id="1208184772">
          <w:marLeft w:val="0"/>
          <w:marRight w:val="0"/>
          <w:marTop w:val="0"/>
          <w:marBottom w:val="0"/>
          <w:divBdr>
            <w:top w:val="none" w:sz="0" w:space="0" w:color="auto"/>
            <w:left w:val="none" w:sz="0" w:space="0" w:color="auto"/>
            <w:bottom w:val="none" w:sz="0" w:space="0" w:color="auto"/>
            <w:right w:val="none" w:sz="0" w:space="0" w:color="auto"/>
          </w:divBdr>
          <w:divsChild>
            <w:div w:id="1967619186">
              <w:marLeft w:val="0"/>
              <w:marRight w:val="0"/>
              <w:marTop w:val="0"/>
              <w:marBottom w:val="120"/>
              <w:divBdr>
                <w:top w:val="none" w:sz="0" w:space="0" w:color="auto"/>
                <w:left w:val="none" w:sz="0" w:space="0" w:color="auto"/>
                <w:bottom w:val="none" w:sz="0" w:space="0" w:color="auto"/>
                <w:right w:val="none" w:sz="0" w:space="0" w:color="auto"/>
              </w:divBdr>
              <w:divsChild>
                <w:div w:id="1622372623">
                  <w:marLeft w:val="0"/>
                  <w:marRight w:val="0"/>
                  <w:marTop w:val="0"/>
                  <w:marBottom w:val="0"/>
                  <w:divBdr>
                    <w:top w:val="single" w:sz="6" w:space="0" w:color="C1C3C7"/>
                    <w:left w:val="single" w:sz="6" w:space="0" w:color="C1C3C7"/>
                    <w:bottom w:val="single" w:sz="6" w:space="0" w:color="C1C3C7"/>
                    <w:right w:val="single" w:sz="6" w:space="0" w:color="C1C3C7"/>
                  </w:divBdr>
                  <w:divsChild>
                    <w:div w:id="704064104">
                      <w:marLeft w:val="0"/>
                      <w:marRight w:val="0"/>
                      <w:marTop w:val="0"/>
                      <w:marBottom w:val="0"/>
                      <w:divBdr>
                        <w:top w:val="none" w:sz="0" w:space="0" w:color="auto"/>
                        <w:left w:val="none" w:sz="0" w:space="0" w:color="auto"/>
                        <w:bottom w:val="none" w:sz="0" w:space="0" w:color="auto"/>
                        <w:right w:val="none" w:sz="0" w:space="0" w:color="auto"/>
                      </w:divBdr>
                      <w:divsChild>
                        <w:div w:id="1997298712">
                          <w:marLeft w:val="0"/>
                          <w:marRight w:val="0"/>
                          <w:marTop w:val="0"/>
                          <w:marBottom w:val="0"/>
                          <w:divBdr>
                            <w:top w:val="none" w:sz="0" w:space="0" w:color="auto"/>
                            <w:left w:val="none" w:sz="0" w:space="0" w:color="auto"/>
                            <w:bottom w:val="none" w:sz="0" w:space="0" w:color="auto"/>
                            <w:right w:val="none" w:sz="0" w:space="0" w:color="auto"/>
                          </w:divBdr>
                          <w:divsChild>
                            <w:div w:id="1899317853">
                              <w:marLeft w:val="0"/>
                              <w:marRight w:val="0"/>
                              <w:marTop w:val="0"/>
                              <w:marBottom w:val="0"/>
                              <w:divBdr>
                                <w:top w:val="none" w:sz="0" w:space="0" w:color="auto"/>
                                <w:left w:val="none" w:sz="0" w:space="0" w:color="auto"/>
                                <w:bottom w:val="none" w:sz="0" w:space="0" w:color="auto"/>
                                <w:right w:val="none" w:sz="0" w:space="0" w:color="auto"/>
                              </w:divBdr>
                              <w:divsChild>
                                <w:div w:id="5405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45262">
          <w:marLeft w:val="0"/>
          <w:marRight w:val="0"/>
          <w:marTop w:val="0"/>
          <w:marBottom w:val="0"/>
          <w:divBdr>
            <w:top w:val="none" w:sz="0" w:space="0" w:color="auto"/>
            <w:left w:val="none" w:sz="0" w:space="0" w:color="auto"/>
            <w:bottom w:val="none" w:sz="0" w:space="0" w:color="auto"/>
            <w:right w:val="none" w:sz="0" w:space="0" w:color="auto"/>
          </w:divBdr>
        </w:div>
      </w:divsChild>
    </w:div>
    <w:div w:id="1598293808">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1143279052">
          <w:marLeft w:val="0"/>
          <w:marRight w:val="0"/>
          <w:marTop w:val="0"/>
          <w:marBottom w:val="0"/>
          <w:divBdr>
            <w:top w:val="none" w:sz="0" w:space="0" w:color="auto"/>
            <w:left w:val="none" w:sz="0" w:space="0" w:color="auto"/>
            <w:bottom w:val="none" w:sz="0" w:space="0" w:color="auto"/>
            <w:right w:val="none" w:sz="0" w:space="0" w:color="auto"/>
          </w:divBdr>
          <w:divsChild>
            <w:div w:id="666136666">
              <w:marLeft w:val="0"/>
              <w:marRight w:val="0"/>
              <w:marTop w:val="0"/>
              <w:marBottom w:val="120"/>
              <w:divBdr>
                <w:top w:val="none" w:sz="0" w:space="0" w:color="auto"/>
                <w:left w:val="none" w:sz="0" w:space="0" w:color="auto"/>
                <w:bottom w:val="none" w:sz="0" w:space="0" w:color="auto"/>
                <w:right w:val="none" w:sz="0" w:space="0" w:color="auto"/>
              </w:divBdr>
              <w:divsChild>
                <w:div w:id="1738090283">
                  <w:marLeft w:val="0"/>
                  <w:marRight w:val="0"/>
                  <w:marTop w:val="0"/>
                  <w:marBottom w:val="0"/>
                  <w:divBdr>
                    <w:top w:val="single" w:sz="6" w:space="0" w:color="C1C3C7"/>
                    <w:left w:val="single" w:sz="6" w:space="0" w:color="C1C3C7"/>
                    <w:bottom w:val="single" w:sz="6" w:space="0" w:color="C1C3C7"/>
                    <w:right w:val="single" w:sz="6" w:space="0" w:color="C1C3C7"/>
                  </w:divBdr>
                  <w:divsChild>
                    <w:div w:id="1198470204">
                      <w:marLeft w:val="0"/>
                      <w:marRight w:val="0"/>
                      <w:marTop w:val="0"/>
                      <w:marBottom w:val="0"/>
                      <w:divBdr>
                        <w:top w:val="none" w:sz="0" w:space="0" w:color="auto"/>
                        <w:left w:val="none" w:sz="0" w:space="0" w:color="auto"/>
                        <w:bottom w:val="none" w:sz="0" w:space="0" w:color="auto"/>
                        <w:right w:val="none" w:sz="0" w:space="0" w:color="auto"/>
                      </w:divBdr>
                      <w:divsChild>
                        <w:div w:id="1585142065">
                          <w:marLeft w:val="0"/>
                          <w:marRight w:val="0"/>
                          <w:marTop w:val="0"/>
                          <w:marBottom w:val="0"/>
                          <w:divBdr>
                            <w:top w:val="none" w:sz="0" w:space="0" w:color="auto"/>
                            <w:left w:val="none" w:sz="0" w:space="0" w:color="auto"/>
                            <w:bottom w:val="none" w:sz="0" w:space="0" w:color="auto"/>
                            <w:right w:val="none" w:sz="0" w:space="0" w:color="auto"/>
                          </w:divBdr>
                          <w:divsChild>
                            <w:div w:id="1544630027">
                              <w:marLeft w:val="0"/>
                              <w:marRight w:val="0"/>
                              <w:marTop w:val="0"/>
                              <w:marBottom w:val="0"/>
                              <w:divBdr>
                                <w:top w:val="none" w:sz="0" w:space="0" w:color="auto"/>
                                <w:left w:val="none" w:sz="0" w:space="0" w:color="auto"/>
                                <w:bottom w:val="none" w:sz="0" w:space="0" w:color="auto"/>
                                <w:right w:val="none" w:sz="0" w:space="0" w:color="auto"/>
                              </w:divBdr>
                              <w:divsChild>
                                <w:div w:id="3176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ealth.gov/healthypeople/objectives-and-data/social-determinants-heal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ata.census.gov/cedsci/table?g=0100000US%2486000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ms.gov/about-cms/agencyAc-information/omh/health-equity-programs/cms-framework-for-health-equ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ms.gov/provider-data/topics/hospitals/overall-hospital-quality-star-rating/" TargetMode="External"/><Relationship Id="rId5" Type="http://schemas.openxmlformats.org/officeDocument/2006/relationships/footnotes" Target="footnotes.xml"/><Relationship Id="rId15" Type="http://schemas.openxmlformats.org/officeDocument/2006/relationships/hyperlink" Target="https://doi.org/10.1177/00333549141291S206" TargetMode="External"/><Relationship Id="rId10" Type="http://schemas.openxmlformats.org/officeDocument/2006/relationships/hyperlink" Target="https://data.cms.gov/provider-data/topics/hospitals" TargetMode="External"/><Relationship Id="rId4" Type="http://schemas.openxmlformats.org/officeDocument/2006/relationships/webSettings" Target="webSettings.xml"/><Relationship Id="rId9" Type="http://schemas.openxmlformats.org/officeDocument/2006/relationships/hyperlink" Target="https://data.cms.gov/provider-data/topics/hospitals" TargetMode="External"/><Relationship Id="rId14" Type="http://schemas.openxmlformats.org/officeDocument/2006/relationships/hyperlink" Target="https://www.cms.gov/about-cms/agencyAc-information/omh/health-equity-programs/cms-framework-for-health-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8</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Rebholz, Erin</dc:creator>
  <cp:keywords/>
  <dc:description/>
  <cp:lastModifiedBy>Rebholz, Erin</cp:lastModifiedBy>
  <cp:revision>81</cp:revision>
  <dcterms:created xsi:type="dcterms:W3CDTF">2023-03-16T04:57:00Z</dcterms:created>
  <dcterms:modified xsi:type="dcterms:W3CDTF">2023-03-26T21:48:00Z</dcterms:modified>
</cp:coreProperties>
</file>