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90EA" w14:textId="3E681EC0" w:rsidR="006543A8" w:rsidRDefault="006543A8" w:rsidP="006543A8">
      <w:pPr>
        <w:shd w:val="clear" w:color="auto" w:fill="FFFFFF"/>
        <w:tabs>
          <w:tab w:val="num" w:pos="720"/>
        </w:tabs>
        <w:spacing w:after="0" w:line="240" w:lineRule="auto"/>
        <w:rPr>
          <w:rFonts w:ascii="Fira Sans Condensed Medium" w:hAnsi="Fira Sans Condensed Medium"/>
          <w:b/>
          <w:bCs/>
          <w:sz w:val="28"/>
          <w:szCs w:val="28"/>
        </w:rPr>
      </w:pPr>
      <w:r w:rsidRPr="006543A8">
        <w:rPr>
          <w:rFonts w:ascii="Fira Sans Condensed Medium" w:hAnsi="Fira Sans Condensed Medium"/>
          <w:b/>
          <w:bCs/>
          <w:sz w:val="28"/>
          <w:szCs w:val="28"/>
        </w:rPr>
        <w:t xml:space="preserve">Survival Analytics Approaches for Adherence </w:t>
      </w:r>
    </w:p>
    <w:p w14:paraId="4BF0658B" w14:textId="76D9AFD9" w:rsidR="006543A8" w:rsidRPr="006543A8" w:rsidRDefault="006543A8" w:rsidP="006543A8">
      <w:pPr>
        <w:shd w:val="clear" w:color="auto" w:fill="FFFFFF"/>
        <w:tabs>
          <w:tab w:val="num" w:pos="720"/>
        </w:tabs>
        <w:spacing w:after="0" w:line="240" w:lineRule="auto"/>
        <w:rPr>
          <w:rFonts w:ascii="Fira Sans" w:hAnsi="Fira Sans"/>
          <w:sz w:val="24"/>
          <w:szCs w:val="24"/>
        </w:rPr>
      </w:pPr>
      <w:r w:rsidRPr="006543A8">
        <w:rPr>
          <w:rFonts w:ascii="Fira Sans" w:hAnsi="Fira Sans"/>
          <w:sz w:val="24"/>
          <w:szCs w:val="24"/>
        </w:rPr>
        <w:t>Erin</w:t>
      </w:r>
      <w:r>
        <w:rPr>
          <w:rFonts w:ascii="Fira Sans" w:hAnsi="Fira Sans"/>
          <w:sz w:val="24"/>
          <w:szCs w:val="24"/>
        </w:rPr>
        <w:t xml:space="preserve"> Rebholz, CSCI 82, Fall 2023: Final Project</w:t>
      </w:r>
    </w:p>
    <w:p w14:paraId="7EA937B7" w14:textId="77777777" w:rsidR="006543A8" w:rsidRDefault="006543A8" w:rsidP="006543A8">
      <w:pPr>
        <w:shd w:val="clear" w:color="auto" w:fill="FFFFFF"/>
        <w:tabs>
          <w:tab w:val="num" w:pos="720"/>
        </w:tabs>
        <w:spacing w:after="0" w:line="240" w:lineRule="auto"/>
        <w:rPr>
          <w:rFonts w:ascii="Fira Sans" w:hAnsi="Fira Sans"/>
          <w:b/>
          <w:bCs/>
        </w:rPr>
      </w:pPr>
    </w:p>
    <w:p w14:paraId="3CB1DC40" w14:textId="37E59C48" w:rsidR="006543A8" w:rsidRPr="006543A8" w:rsidRDefault="006543A8" w:rsidP="006543A8">
      <w:pPr>
        <w:shd w:val="clear" w:color="auto" w:fill="FFFFFF"/>
        <w:tabs>
          <w:tab w:val="num" w:pos="720"/>
        </w:tabs>
        <w:spacing w:after="0" w:line="240" w:lineRule="auto"/>
        <w:rPr>
          <w:rFonts w:ascii="Fira Sans" w:hAnsi="Fira Sans"/>
          <w:b/>
          <w:bCs/>
        </w:rPr>
      </w:pPr>
      <w:r w:rsidRPr="006543A8">
        <w:rPr>
          <w:rFonts w:ascii="Fira Sans" w:hAnsi="Fira Sans"/>
          <w:b/>
          <w:bCs/>
        </w:rPr>
        <w:t>P</w:t>
      </w:r>
      <w:r w:rsidRPr="006543A8">
        <w:rPr>
          <w:rFonts w:ascii="Fira Sans" w:hAnsi="Fira Sans"/>
          <w:b/>
          <w:bCs/>
        </w:rPr>
        <w:t>roblem</w:t>
      </w:r>
    </w:p>
    <w:p w14:paraId="61F69AA9" w14:textId="5C67EA8E" w:rsidR="006543A8" w:rsidRPr="00C50166" w:rsidRDefault="00664394" w:rsidP="006543A8">
      <w:pPr>
        <w:shd w:val="clear" w:color="auto" w:fill="FFFFFF"/>
        <w:tabs>
          <w:tab w:val="num" w:pos="720"/>
        </w:tabs>
        <w:spacing w:after="0" w:line="240" w:lineRule="auto"/>
      </w:pPr>
      <w:r>
        <w:t xml:space="preserve">Understanding the drivers behind medication </w:t>
      </w:r>
      <w:r w:rsidR="00B46F08">
        <w:t>adherence</w:t>
      </w:r>
      <w:r>
        <w:t xml:space="preserve"> </w:t>
      </w:r>
      <w:r w:rsidR="00B46F08">
        <w:t xml:space="preserve">helps </w:t>
      </w:r>
      <w:r w:rsidR="00B46F08">
        <w:t>pharmacies, payors and drug manufacturers</w:t>
      </w:r>
      <w:r>
        <w:t xml:space="preserve"> </w:t>
      </w:r>
      <w:r w:rsidR="00B46F08">
        <w:t>develop</w:t>
      </w:r>
      <w:r>
        <w:t xml:space="preserve"> interventions </w:t>
      </w:r>
      <w:r w:rsidR="00B46F08">
        <w:t xml:space="preserve">that may </w:t>
      </w:r>
      <w:r>
        <w:t xml:space="preserve">improve </w:t>
      </w:r>
      <w:r w:rsidR="00B46F08">
        <w:t xml:space="preserve">patient </w:t>
      </w:r>
      <w:r>
        <w:t>adherence</w:t>
      </w:r>
      <w:r w:rsidR="00B46F08">
        <w:t xml:space="preserve">.  Diabetes and statin medications, in particular, help treat chronic </w:t>
      </w:r>
      <w:r w:rsidR="008A3C49">
        <w:t>conditions</w:t>
      </w:r>
      <w:r w:rsidR="00B46F08">
        <w:t xml:space="preserve"> that require daily medications</w:t>
      </w:r>
      <w:r w:rsidR="00C50166">
        <w:t xml:space="preserve"> and are interesting examples with large patient populations</w:t>
      </w:r>
      <w:r w:rsidR="00B46F08">
        <w:t xml:space="preserve">.  The goal of this study </w:t>
      </w:r>
      <w:r w:rsidR="00C50166">
        <w:t xml:space="preserve">is </w:t>
      </w:r>
      <w:r w:rsidR="008A3C49">
        <w:t>to</w:t>
      </w:r>
      <w:r w:rsidR="00B46F08">
        <w:t xml:space="preserve"> examine how survival analytics methodologies may be applied to predict </w:t>
      </w:r>
      <w:r w:rsidR="00C50166">
        <w:t>patient adherence</w:t>
      </w:r>
      <w:r w:rsidR="00B46F08">
        <w:t>.  For many years</w:t>
      </w:r>
      <w:r w:rsidR="00C50166">
        <w:t>,</w:t>
      </w:r>
      <w:r w:rsidR="00B46F08">
        <w:t xml:space="preserve"> </w:t>
      </w:r>
      <w:r w:rsidR="00C50166">
        <w:t>state-of-the-art</w:t>
      </w:r>
      <w:r w:rsidR="00B46F08">
        <w:t xml:space="preserve"> analytics</w:t>
      </w:r>
      <w:r w:rsidR="00C50166">
        <w:t xml:space="preserve"> for medication adherence has been </w:t>
      </w:r>
      <w:r w:rsidR="00B46F08">
        <w:t xml:space="preserve">cohort analytics studies </w:t>
      </w:r>
      <w:r w:rsidR="00C50166">
        <w:t xml:space="preserve">using Kaplan Meiers and Cox Proportional Hazard curves. This study evaluates tree-based methods such as Random Forest and Gradient Boosting to see how well they might predict patient adherence behavior, in conjunction with other measures, including proportion of days covered of (PDC).  </w:t>
      </w:r>
    </w:p>
    <w:p w14:paraId="62E1C19D" w14:textId="77777777" w:rsidR="00B46F08" w:rsidRDefault="00B46F08" w:rsidP="006543A8">
      <w:pPr>
        <w:shd w:val="clear" w:color="auto" w:fill="FFFFFF"/>
        <w:tabs>
          <w:tab w:val="num" w:pos="720"/>
        </w:tabs>
        <w:spacing w:after="0" w:line="240" w:lineRule="auto"/>
        <w:rPr>
          <w:rFonts w:ascii="Fira Sans" w:hAnsi="Fira Sans"/>
          <w:b/>
          <w:bCs/>
        </w:rPr>
      </w:pPr>
    </w:p>
    <w:p w14:paraId="5C3F5778" w14:textId="2DF9CAB1" w:rsidR="00062870" w:rsidRPr="006543A8" w:rsidRDefault="006543A8" w:rsidP="006543A8">
      <w:pPr>
        <w:shd w:val="clear" w:color="auto" w:fill="FFFFFF"/>
        <w:tabs>
          <w:tab w:val="num" w:pos="720"/>
        </w:tabs>
        <w:spacing w:after="0" w:line="240" w:lineRule="auto"/>
        <w:rPr>
          <w:rFonts w:ascii="Fira Sans" w:hAnsi="Fira Sans"/>
          <w:b/>
          <w:bCs/>
        </w:rPr>
      </w:pPr>
      <w:r>
        <w:rPr>
          <w:rFonts w:ascii="Fira Sans" w:hAnsi="Fira Sans"/>
          <w:b/>
          <w:bCs/>
        </w:rPr>
        <w:t>D</w:t>
      </w:r>
      <w:r w:rsidRPr="006543A8">
        <w:rPr>
          <w:rFonts w:ascii="Fira Sans" w:hAnsi="Fira Sans"/>
          <w:b/>
          <w:bCs/>
        </w:rPr>
        <w:t xml:space="preserve">ata </w:t>
      </w:r>
      <w:r>
        <w:rPr>
          <w:rFonts w:ascii="Fira Sans" w:hAnsi="Fira Sans"/>
          <w:b/>
          <w:bCs/>
        </w:rPr>
        <w:t>S</w:t>
      </w:r>
      <w:r w:rsidRPr="006543A8">
        <w:rPr>
          <w:rFonts w:ascii="Fira Sans" w:hAnsi="Fira Sans"/>
          <w:b/>
          <w:bCs/>
        </w:rPr>
        <w:t>et</w:t>
      </w:r>
    </w:p>
    <w:p w14:paraId="2258FF0B" w14:textId="3A425FD8" w:rsidR="00681936" w:rsidRDefault="004458C3" w:rsidP="004C5097">
      <w:pPr>
        <w:shd w:val="clear" w:color="auto" w:fill="FFFFFF"/>
        <w:tabs>
          <w:tab w:val="num" w:pos="720"/>
        </w:tabs>
        <w:spacing w:line="240" w:lineRule="auto"/>
      </w:pPr>
      <w:r>
        <w:t xml:space="preserve">Initially, I’d hoped to use the </w:t>
      </w:r>
      <w:proofErr w:type="spellStart"/>
      <w:r>
        <w:t>SyntheaMass</w:t>
      </w:r>
      <w:proofErr w:type="spellEnd"/>
      <w:r w:rsidR="00D53CD7">
        <w:rPr>
          <w:rStyle w:val="FootnoteReference"/>
        </w:rPr>
        <w:footnoteReference w:id="1"/>
      </w:r>
      <w:r w:rsidR="00D53CD7">
        <w:t xml:space="preserve"> </w:t>
      </w:r>
      <w:r>
        <w:t>data set</w:t>
      </w:r>
      <w:r w:rsidR="00062870">
        <w:t xml:space="preserve">, which is a synthetic patient data set that </w:t>
      </w:r>
      <w:r w:rsidR="00A743BC">
        <w:t xml:space="preserve">has been </w:t>
      </w:r>
      <w:r w:rsidR="00062870">
        <w:t>developed</w:t>
      </w:r>
      <w:r w:rsidR="00A743BC">
        <w:t xml:space="preserve"> by the US federal government</w:t>
      </w:r>
      <w:r w:rsidR="00352763">
        <w:t xml:space="preserve"> </w:t>
      </w:r>
      <w:r w:rsidR="00811632">
        <w:t xml:space="preserve">to support </w:t>
      </w:r>
      <w:r w:rsidR="00352763">
        <w:t>research and development</w:t>
      </w:r>
      <w:r w:rsidR="00C50166">
        <w:t xml:space="preserve"> use</w:t>
      </w:r>
      <w:r w:rsidR="00062870">
        <w:t>. However, the medication data set was not suitable for pharmacy adherence analysis</w:t>
      </w:r>
      <w:r w:rsidR="00C50166">
        <w:t xml:space="preserve">, as </w:t>
      </w:r>
      <w:r w:rsidR="00062870">
        <w:t xml:space="preserve">it </w:t>
      </w:r>
      <w:r w:rsidR="00811632">
        <w:t>is</w:t>
      </w:r>
      <w:r w:rsidR="00062870">
        <w:t xml:space="preserve"> structure</w:t>
      </w:r>
      <w:r w:rsidR="00681936">
        <w:t>d</w:t>
      </w:r>
      <w:r w:rsidR="00062870">
        <w:t xml:space="preserve"> </w:t>
      </w:r>
      <w:r w:rsidR="00811632">
        <w:t>such</w:t>
      </w:r>
      <w:r w:rsidR="00062870">
        <w:t xml:space="preserve"> that patients are </w:t>
      </w:r>
      <w:r w:rsidR="00681936">
        <w:t xml:space="preserve">100% </w:t>
      </w:r>
      <w:r w:rsidR="00062870">
        <w:t xml:space="preserve">adherent </w:t>
      </w:r>
      <w:r w:rsidR="00681936">
        <w:t>to</w:t>
      </w:r>
      <w:r w:rsidR="00062870">
        <w:t xml:space="preserve"> chronic care medications, from the start of the first fill to when the patient dies. </w:t>
      </w:r>
      <w:r w:rsidR="00D53CD7">
        <w:t xml:space="preserve"> That said, because there is information on patient death, I was able to structure the censor &amp; duration fields to reflect when the patient died and how long the patient had been taking statins prior to death.  Therefore, I was able to </w:t>
      </w:r>
      <w:r w:rsidR="008B79E3">
        <w:t xml:space="preserve">provide </w:t>
      </w:r>
      <w:r w:rsidR="00A2608F">
        <w:t xml:space="preserve">a </w:t>
      </w:r>
      <w:r w:rsidR="008B79E3">
        <w:t xml:space="preserve">working sample code </w:t>
      </w:r>
      <w:r w:rsidR="00681936">
        <w:t xml:space="preserve">for statins </w:t>
      </w:r>
      <w:r w:rsidR="00A2608F">
        <w:t xml:space="preserve">using my selected </w:t>
      </w:r>
      <w:r w:rsidR="008B79E3">
        <w:t>survival prediction methodologies</w:t>
      </w:r>
      <w:r w:rsidR="00D53CD7">
        <w:t>.</w:t>
      </w:r>
      <w:r w:rsidR="008B79E3">
        <w:t xml:space="preserve"> </w:t>
      </w:r>
    </w:p>
    <w:p w14:paraId="70CD00E3" w14:textId="5537C1FA" w:rsidR="00681936" w:rsidRDefault="00C50166" w:rsidP="00681936">
      <w:pPr>
        <w:shd w:val="clear" w:color="auto" w:fill="FFFFFF"/>
        <w:tabs>
          <w:tab w:val="num" w:pos="720"/>
        </w:tabs>
        <w:spacing w:after="0" w:line="240" w:lineRule="auto"/>
        <w:rPr>
          <w:rFonts w:ascii="Fira Sans" w:hAnsi="Fira Sans"/>
          <w:b/>
          <w:bCs/>
        </w:rPr>
      </w:pPr>
      <w:r>
        <w:t>G</w:t>
      </w:r>
      <w:r w:rsidR="00681936">
        <w:t xml:space="preserve">iven the Synthea limitations, I acquired a pharmacy deidentified data set </w:t>
      </w:r>
      <w:r w:rsidR="00681936">
        <w:t xml:space="preserve">under license to my personal LLC, </w:t>
      </w:r>
      <w:proofErr w:type="spellStart"/>
      <w:r w:rsidR="00681936">
        <w:t>Merilytic</w:t>
      </w:r>
      <w:proofErr w:type="spellEnd"/>
      <w:r w:rsidR="00681936">
        <w:t xml:space="preserve"> Health</w:t>
      </w:r>
      <w:r w:rsidR="00681936">
        <w:t>.  W</w:t>
      </w:r>
      <w:r w:rsidR="00681936">
        <w:t>hile I can share analytic outputs for this data, there are limitations in ability to share the data set more broadly d</w:t>
      </w:r>
      <w:r w:rsidR="00681936">
        <w:t>ue</w:t>
      </w:r>
      <w:r w:rsidR="00681936">
        <w:t xml:space="preserve"> to potential risk of patient reidentification and limitations for sharing the data outside the Unite</w:t>
      </w:r>
      <w:r w:rsidR="00681936">
        <w:t>d</w:t>
      </w:r>
      <w:r w:rsidR="00681936">
        <w:t xml:space="preserve"> States. </w:t>
      </w:r>
      <w:r w:rsidR="00681936">
        <w:t xml:space="preserve"> Therefore, for this data set I’m only able to provide the python workbook in pdf form. </w:t>
      </w:r>
    </w:p>
    <w:p w14:paraId="091F9019" w14:textId="77777777" w:rsidR="006543A8" w:rsidRDefault="006543A8" w:rsidP="006543A8">
      <w:pPr>
        <w:shd w:val="clear" w:color="auto" w:fill="FFFFFF"/>
        <w:tabs>
          <w:tab w:val="num" w:pos="720"/>
        </w:tabs>
        <w:spacing w:after="0" w:line="240" w:lineRule="auto"/>
      </w:pPr>
    </w:p>
    <w:p w14:paraId="7DA215FC" w14:textId="646E5005" w:rsidR="00A2608F" w:rsidRPr="00A2608F" w:rsidRDefault="006543A8" w:rsidP="006543A8">
      <w:pPr>
        <w:shd w:val="clear" w:color="auto" w:fill="FFFFFF"/>
        <w:tabs>
          <w:tab w:val="num" w:pos="720"/>
        </w:tabs>
        <w:spacing w:after="0" w:line="240" w:lineRule="auto"/>
        <w:rPr>
          <w:rFonts w:ascii="Fira Sans" w:hAnsi="Fira Sans"/>
          <w:b/>
          <w:bCs/>
        </w:rPr>
      </w:pPr>
      <w:r>
        <w:rPr>
          <w:rFonts w:ascii="Fira Sans" w:hAnsi="Fira Sans"/>
          <w:b/>
          <w:bCs/>
        </w:rPr>
        <w:t>Approach</w:t>
      </w:r>
    </w:p>
    <w:p w14:paraId="7CBD7D99" w14:textId="1FD857A5" w:rsidR="00A2608F" w:rsidRPr="006D1D5A" w:rsidRDefault="00A2608F" w:rsidP="006543A8">
      <w:pPr>
        <w:shd w:val="clear" w:color="auto" w:fill="FFFFFF"/>
        <w:tabs>
          <w:tab w:val="num" w:pos="720"/>
        </w:tabs>
        <w:spacing w:after="0" w:line="240" w:lineRule="auto"/>
        <w:rPr>
          <w:b/>
          <w:bCs/>
          <w:i/>
          <w:iCs/>
        </w:rPr>
      </w:pPr>
      <w:r w:rsidRPr="006D1D5A">
        <w:rPr>
          <w:b/>
          <w:bCs/>
          <w:i/>
          <w:iCs/>
        </w:rPr>
        <w:t>Treatment Area and Study Window Selection</w:t>
      </w:r>
    </w:p>
    <w:p w14:paraId="2CF1BD90" w14:textId="5205C941" w:rsidR="00A2608F" w:rsidRDefault="00A2608F" w:rsidP="004C5097">
      <w:pPr>
        <w:shd w:val="clear" w:color="auto" w:fill="FFFFFF"/>
        <w:tabs>
          <w:tab w:val="num" w:pos="720"/>
        </w:tabs>
        <w:spacing w:after="120" w:line="240" w:lineRule="auto"/>
      </w:pPr>
      <w:r>
        <w:t xml:space="preserve">The </w:t>
      </w:r>
      <w:proofErr w:type="spellStart"/>
      <w:r>
        <w:t>RxNorm</w:t>
      </w:r>
      <w:proofErr w:type="spellEnd"/>
      <w:r>
        <w:t xml:space="preserve"> data set</w:t>
      </w:r>
      <w:r>
        <w:rPr>
          <w:rStyle w:val="FootnoteReference"/>
        </w:rPr>
        <w:footnoteReference w:id="2"/>
      </w:r>
      <w:r>
        <w:t xml:space="preserve"> was used to identify the NDCs for three different treatment categories, anti-</w:t>
      </w:r>
      <w:proofErr w:type="spellStart"/>
      <w:r>
        <w:t>tnf</w:t>
      </w:r>
      <w:proofErr w:type="spellEnd"/>
      <w:r>
        <w:t xml:space="preserve"> drugs, GLP-1’s, a newer class of diabetes and weight control medications, and DPP-4’s, an older class of daily diabetes medications. GLP1-s</w:t>
      </w:r>
      <w:r w:rsidR="00C50166">
        <w:t xml:space="preserve"> and </w:t>
      </w:r>
      <w:proofErr w:type="spellStart"/>
      <w:r w:rsidRPr="00681936">
        <w:rPr>
          <w:b/>
          <w:bCs/>
        </w:rPr>
        <w:t>Wegovy</w:t>
      </w:r>
      <w:proofErr w:type="spellEnd"/>
      <w:r w:rsidRPr="00681936">
        <w:rPr>
          <w:b/>
          <w:bCs/>
        </w:rPr>
        <w:t xml:space="preserve"> and Ozempic</w:t>
      </w:r>
      <w:proofErr w:type="gramStart"/>
      <w:r w:rsidR="00C50166">
        <w:rPr>
          <w:b/>
          <w:bCs/>
        </w:rPr>
        <w:t>,</w:t>
      </w:r>
      <w:r>
        <w:t xml:space="preserve"> in particular, </w:t>
      </w:r>
      <w:r w:rsidR="00811632">
        <w:t>were</w:t>
      </w:r>
      <w:proofErr w:type="gramEnd"/>
      <w:r w:rsidR="00811632">
        <w:t xml:space="preserve"> selected </w:t>
      </w:r>
      <w:r>
        <w:t xml:space="preserve">as they had good data coverage.  </w:t>
      </w:r>
      <w:r w:rsidR="00C50166">
        <w:t xml:space="preserve">The </w:t>
      </w:r>
      <w:r>
        <w:t xml:space="preserve">analysis period was set at </w:t>
      </w:r>
      <w:r w:rsidR="009F57BB" w:rsidRPr="00681936">
        <w:rPr>
          <w:b/>
          <w:bCs/>
        </w:rPr>
        <w:t xml:space="preserve">Jan 1, </w:t>
      </w:r>
      <w:proofErr w:type="gramStart"/>
      <w:r w:rsidR="009F57BB" w:rsidRPr="00681936">
        <w:rPr>
          <w:b/>
          <w:bCs/>
        </w:rPr>
        <w:t>2023</w:t>
      </w:r>
      <w:proofErr w:type="gramEnd"/>
      <w:r w:rsidR="009F57BB" w:rsidRPr="00681936">
        <w:rPr>
          <w:b/>
          <w:bCs/>
        </w:rPr>
        <w:t xml:space="preserve"> to Dec, 1, 2023</w:t>
      </w:r>
      <w:r w:rsidR="009F57BB">
        <w:t>, given there was good data completeness and patient availability</w:t>
      </w:r>
      <w:r w:rsidR="00171099">
        <w:t xml:space="preserve">, with </w:t>
      </w:r>
      <w:r w:rsidR="008A3B1C" w:rsidRPr="008A3B1C">
        <w:rPr>
          <w:b/>
          <w:bCs/>
        </w:rPr>
        <w:t>3,162</w:t>
      </w:r>
      <w:r w:rsidR="008A3B1C">
        <w:rPr>
          <w:b/>
          <w:bCs/>
        </w:rPr>
        <w:t xml:space="preserve"> </w:t>
      </w:r>
      <w:r w:rsidR="008A3B1C" w:rsidRPr="008A3B1C">
        <w:t>patients</w:t>
      </w:r>
      <w:r w:rsidR="008A3B1C">
        <w:rPr>
          <w:b/>
          <w:bCs/>
        </w:rPr>
        <w:t xml:space="preserve"> </w:t>
      </w:r>
      <w:r w:rsidR="008A3B1C" w:rsidRPr="008A3B1C">
        <w:t>and</w:t>
      </w:r>
      <w:r w:rsidR="008A3B1C">
        <w:rPr>
          <w:b/>
          <w:bCs/>
        </w:rPr>
        <w:t xml:space="preserve"> </w:t>
      </w:r>
      <w:r w:rsidR="008A3B1C" w:rsidRPr="008A3B1C">
        <w:rPr>
          <w:b/>
          <w:bCs/>
        </w:rPr>
        <w:t>9,102</w:t>
      </w:r>
      <w:r w:rsidR="008A3B1C">
        <w:rPr>
          <w:b/>
          <w:bCs/>
        </w:rPr>
        <w:t xml:space="preserve"> </w:t>
      </w:r>
      <w:proofErr w:type="gramStart"/>
      <w:r w:rsidR="008A3B1C" w:rsidRPr="008A3B1C">
        <w:t>fills</w:t>
      </w:r>
      <w:proofErr w:type="gramEnd"/>
      <w:r w:rsidR="004C5097">
        <w:t>.</w:t>
      </w:r>
    </w:p>
    <w:p w14:paraId="71A8F906" w14:textId="1F0B3161" w:rsidR="00A2608F" w:rsidRDefault="00A2608F" w:rsidP="006543A8">
      <w:pPr>
        <w:shd w:val="clear" w:color="auto" w:fill="FFFFFF"/>
        <w:tabs>
          <w:tab w:val="num" w:pos="720"/>
        </w:tabs>
        <w:spacing w:after="0" w:line="240" w:lineRule="auto"/>
      </w:pPr>
      <w:r>
        <w:t xml:space="preserve">From the </w:t>
      </w:r>
      <w:proofErr w:type="spellStart"/>
      <w:r>
        <w:t>SyntheaMass</w:t>
      </w:r>
      <w:proofErr w:type="spellEnd"/>
      <w:r>
        <w:t xml:space="preserve"> data set, I found that the dataset consisted mainly of generics products, so I selected the statin class</w:t>
      </w:r>
      <w:r w:rsidR="00C50166">
        <w:t>,</w:t>
      </w:r>
      <w:r>
        <w:t xml:space="preserve"> given it would have good longitudinal data (first </w:t>
      </w:r>
      <w:r w:rsidR="008A3B1C">
        <w:t>statin was approved and released in 1991)</w:t>
      </w:r>
      <w:r>
        <w:t xml:space="preserve">.  </w:t>
      </w:r>
      <w:r w:rsidR="008A3B1C">
        <w:t xml:space="preserve">That said, the sample data set </w:t>
      </w:r>
      <w:r w:rsidR="00811632">
        <w:t xml:space="preserve">contained </w:t>
      </w:r>
      <w:r w:rsidR="008A3B1C">
        <w:t xml:space="preserve">missing fill data for </w:t>
      </w:r>
      <w:proofErr w:type="gramStart"/>
      <w:r w:rsidR="008A3B1C">
        <w:t>a large number of</w:t>
      </w:r>
      <w:proofErr w:type="gramEnd"/>
      <w:r w:rsidR="008A3B1C">
        <w:t xml:space="preserve"> </w:t>
      </w:r>
      <w:proofErr w:type="gramStart"/>
      <w:r w:rsidR="008A3B1C">
        <w:t>the medication</w:t>
      </w:r>
      <w:proofErr w:type="gramEnd"/>
      <w:r w:rsidR="008A3B1C">
        <w:t xml:space="preserve"> records, it also contained examples of statin use prior to the commercial availability of the drug</w:t>
      </w:r>
      <w:r w:rsidR="00811632">
        <w:t xml:space="preserve"> category</w:t>
      </w:r>
      <w:r w:rsidR="008A3B1C">
        <w:t xml:space="preserve">.  For the </w:t>
      </w:r>
      <w:r w:rsidR="008A3B1C" w:rsidRPr="00681936">
        <w:rPr>
          <w:b/>
          <w:bCs/>
        </w:rPr>
        <w:t>statin</w:t>
      </w:r>
      <w:r w:rsidR="008A3B1C">
        <w:t xml:space="preserve"> study, </w:t>
      </w:r>
      <w:r w:rsidR="008A3B1C" w:rsidRPr="008A3B1C">
        <w:rPr>
          <w:b/>
          <w:bCs/>
        </w:rPr>
        <w:t>660</w:t>
      </w:r>
      <w:r w:rsidR="008A3B1C">
        <w:t xml:space="preserve"> patients remained</w:t>
      </w:r>
      <w:r w:rsidR="00681936">
        <w:t xml:space="preserve">, with records between </w:t>
      </w:r>
      <w:r w:rsidR="00681936" w:rsidRPr="00681936">
        <w:rPr>
          <w:b/>
          <w:bCs/>
        </w:rPr>
        <w:t>Jan 1991 to July 2021</w:t>
      </w:r>
      <w:r w:rsidR="00681936">
        <w:t>.</w:t>
      </w:r>
    </w:p>
    <w:p w14:paraId="283C21AB" w14:textId="77777777" w:rsidR="006D1D5A" w:rsidRDefault="006D1D5A" w:rsidP="006543A8">
      <w:pPr>
        <w:shd w:val="clear" w:color="auto" w:fill="FFFFFF"/>
        <w:tabs>
          <w:tab w:val="num" w:pos="720"/>
        </w:tabs>
        <w:spacing w:after="0" w:line="240" w:lineRule="auto"/>
      </w:pPr>
    </w:p>
    <w:p w14:paraId="320D7D3D" w14:textId="77777777" w:rsidR="006D1D5A" w:rsidRDefault="006D1D5A" w:rsidP="006543A8">
      <w:pPr>
        <w:shd w:val="clear" w:color="auto" w:fill="FFFFFF"/>
        <w:tabs>
          <w:tab w:val="num" w:pos="720"/>
        </w:tabs>
        <w:spacing w:after="0" w:line="240" w:lineRule="auto"/>
      </w:pPr>
    </w:p>
    <w:p w14:paraId="36656D4D" w14:textId="77777777" w:rsidR="006D1D5A" w:rsidRPr="006D1D5A" w:rsidRDefault="006D1D5A" w:rsidP="006543A8">
      <w:pPr>
        <w:shd w:val="clear" w:color="auto" w:fill="FFFFFF"/>
        <w:tabs>
          <w:tab w:val="num" w:pos="720"/>
        </w:tabs>
        <w:spacing w:after="0" w:line="240" w:lineRule="auto"/>
        <w:rPr>
          <w:b/>
          <w:bCs/>
          <w:i/>
          <w:iCs/>
        </w:rPr>
      </w:pPr>
    </w:p>
    <w:p w14:paraId="78E9E0A6" w14:textId="67865A1E" w:rsidR="00A2608F" w:rsidRPr="006D1D5A" w:rsidRDefault="00A2608F" w:rsidP="006543A8">
      <w:pPr>
        <w:shd w:val="clear" w:color="auto" w:fill="FFFFFF"/>
        <w:tabs>
          <w:tab w:val="num" w:pos="720"/>
        </w:tabs>
        <w:spacing w:after="0" w:line="240" w:lineRule="auto"/>
        <w:rPr>
          <w:b/>
          <w:bCs/>
          <w:i/>
          <w:iCs/>
        </w:rPr>
      </w:pPr>
      <w:r w:rsidRPr="006D1D5A">
        <w:rPr>
          <w:b/>
          <w:bCs/>
          <w:i/>
          <w:iCs/>
        </w:rPr>
        <w:t>Exploratory Data Analysis</w:t>
      </w:r>
      <w:r w:rsidR="00681936" w:rsidRPr="006D1D5A">
        <w:rPr>
          <w:b/>
          <w:bCs/>
          <w:i/>
          <w:iCs/>
        </w:rPr>
        <w:t xml:space="preserve"> and Censor Duration Calculations</w:t>
      </w:r>
      <w:r w:rsidRPr="006D1D5A">
        <w:rPr>
          <w:b/>
          <w:bCs/>
          <w:i/>
          <w:iCs/>
        </w:rPr>
        <w:t xml:space="preserve">. </w:t>
      </w:r>
    </w:p>
    <w:p w14:paraId="3CD28EF3" w14:textId="72B6D77C" w:rsidR="00664394" w:rsidRDefault="004C5097" w:rsidP="004C5097">
      <w:pPr>
        <w:shd w:val="clear" w:color="auto" w:fill="FFFFFF"/>
        <w:tabs>
          <w:tab w:val="num" w:pos="720"/>
        </w:tabs>
        <w:spacing w:after="120" w:line="240" w:lineRule="auto"/>
      </w:pPr>
      <w:r>
        <w:lastRenderedPageBreak/>
        <w:t>Exploratory</w:t>
      </w:r>
      <w:r w:rsidR="00681936">
        <w:t xml:space="preserve"> analytics </w:t>
      </w:r>
      <w:r w:rsidR="00811632">
        <w:t xml:space="preserve">was conducted on </w:t>
      </w:r>
      <w:r w:rsidR="00681936">
        <w:t>the data set to better understand the ranges of values for features</w:t>
      </w:r>
      <w:r w:rsidR="00664394">
        <w:t>.  T</w:t>
      </w:r>
      <w:r w:rsidR="00681936">
        <w:t xml:space="preserve">he distributions </w:t>
      </w:r>
      <w:r w:rsidR="00664394">
        <w:t>of</w:t>
      </w:r>
      <w:r w:rsidR="00681936">
        <w:t xml:space="preserve"> </w:t>
      </w:r>
      <w:proofErr w:type="spellStart"/>
      <w:r w:rsidR="00681936">
        <w:t>days</w:t>
      </w:r>
      <w:proofErr w:type="spellEnd"/>
      <w:r w:rsidR="00681936">
        <w:t xml:space="preserve"> supply and fill dates, which were used to conduct the censor and duration analytics</w:t>
      </w:r>
      <w:r w:rsidR="00664394">
        <w:t xml:space="preserve">, were also profiled.   </w:t>
      </w:r>
    </w:p>
    <w:p w14:paraId="2E4CD66C" w14:textId="04849D93" w:rsidR="00664394" w:rsidRDefault="00811632" w:rsidP="00811632">
      <w:pPr>
        <w:shd w:val="clear" w:color="auto" w:fill="FFFFFF"/>
        <w:tabs>
          <w:tab w:val="num" w:pos="720"/>
        </w:tabs>
        <w:spacing w:after="120" w:line="240" w:lineRule="auto"/>
      </w:pPr>
      <w:r>
        <w:t>For the censor and duration analysis, a</w:t>
      </w:r>
      <w:r w:rsidR="004C5097">
        <w:t xml:space="preserve"> patient is considered adherent if they refilled their medication within </w:t>
      </w:r>
      <w:r w:rsidR="00461660">
        <w:t>3</w:t>
      </w:r>
      <w:r w:rsidR="004C5097">
        <w:t xml:space="preserve">0 days of the expected fill date, with the expected fill data calculated as the previous fill plus the days </w:t>
      </w:r>
      <w:r>
        <w:t xml:space="preserve">of </w:t>
      </w:r>
      <w:r w:rsidR="004C5097">
        <w:t xml:space="preserve">supply.  If the patient didn’t fill in time, they were considered censored, even if there were subsequent fills of the medication available.  This </w:t>
      </w:r>
      <w:r w:rsidR="00461660">
        <w:t>is a forgiving</w:t>
      </w:r>
      <w:r w:rsidR="004C5097">
        <w:t xml:space="preserve"> design</w:t>
      </w:r>
      <w:r>
        <w:t xml:space="preserve"> choice that </w:t>
      </w:r>
      <w:r w:rsidR="004C5097">
        <w:t xml:space="preserve">could be refined to </w:t>
      </w:r>
      <w:r w:rsidR="00461660">
        <w:t>narrow</w:t>
      </w:r>
      <w:r w:rsidR="004C5097">
        <w:t xml:space="preserve">, or </w:t>
      </w:r>
      <w:proofErr w:type="gramStart"/>
      <w:r w:rsidR="00461660">
        <w:t>expand</w:t>
      </w:r>
      <w:proofErr w:type="gramEnd"/>
      <w:r w:rsidR="004C5097">
        <w:t xml:space="preserve"> </w:t>
      </w:r>
      <w:r w:rsidR="00461660">
        <w:t>the</w:t>
      </w:r>
      <w:r w:rsidR="004C5097">
        <w:t xml:space="preserve"> window based on the </w:t>
      </w:r>
      <w:r w:rsidR="006D1D5A">
        <w:t>use case being considered</w:t>
      </w:r>
      <w:r w:rsidR="004C5097">
        <w:t xml:space="preserve">.  </w:t>
      </w:r>
    </w:p>
    <w:p w14:paraId="7DE2E802" w14:textId="5E1D17B8" w:rsidR="00664394" w:rsidRDefault="004C5097" w:rsidP="006543A8">
      <w:pPr>
        <w:shd w:val="clear" w:color="auto" w:fill="FFFFFF"/>
        <w:tabs>
          <w:tab w:val="num" w:pos="720"/>
        </w:tabs>
        <w:spacing w:after="0" w:line="240" w:lineRule="auto"/>
      </w:pPr>
      <w:r>
        <w:t>Finally</w:t>
      </w:r>
      <w:r w:rsidR="00664394">
        <w:t>, the proportion of days covered</w:t>
      </w:r>
      <w:r w:rsidR="00811632">
        <w:t xml:space="preserve">, or PDC, was also calculated </w:t>
      </w:r>
      <w:r>
        <w:t>which looks at the ‘days covered’, or days supply of the medication</w:t>
      </w:r>
      <w:r w:rsidR="00811632" w:rsidRPr="00811632">
        <w:t xml:space="preserve"> </w:t>
      </w:r>
      <w:r w:rsidR="00811632">
        <w:t xml:space="preserve">within the study </w:t>
      </w:r>
      <w:proofErr w:type="gramStart"/>
      <w:r w:rsidR="00811632">
        <w:t>window</w:t>
      </w:r>
      <w:r w:rsidR="00461660">
        <w:t xml:space="preserve"> </w:t>
      </w:r>
      <w:r>
        <w:t>,</w:t>
      </w:r>
      <w:proofErr w:type="gramEnd"/>
      <w:r>
        <w:t xml:space="preserve"> divided by the total day</w:t>
      </w:r>
      <w:r w:rsidR="00811632">
        <w:t>s the patient was in the study.</w:t>
      </w:r>
      <w:r>
        <w:t xml:space="preserve">  The begin date in the study varies by patient as new patients come into the study</w:t>
      </w:r>
      <w:r w:rsidR="00811632">
        <w:t>.</w:t>
      </w:r>
      <w:r w:rsidR="00461660">
        <w:t xml:space="preserve"> The end date is either the last day of the study for non-censored patients, or the last end date at the time of the censored fill. </w:t>
      </w:r>
      <w:r w:rsidR="00811632">
        <w:t xml:space="preserve"> Th</w:t>
      </w:r>
      <w:r w:rsidR="00461660">
        <w:t>is way</w:t>
      </w:r>
      <w:r w:rsidR="00811632">
        <w:t xml:space="preserve"> PDC score </w:t>
      </w:r>
      <w:r w:rsidR="00461660">
        <w:t>gives only information to the model about known past behavior at the time of censor</w:t>
      </w:r>
      <w:r w:rsidR="00811632">
        <w:t xml:space="preserve">. </w:t>
      </w:r>
    </w:p>
    <w:p w14:paraId="159E21BB" w14:textId="77777777" w:rsidR="008A3B1C" w:rsidRDefault="008A3B1C" w:rsidP="006543A8">
      <w:pPr>
        <w:shd w:val="clear" w:color="auto" w:fill="FFFFFF"/>
        <w:tabs>
          <w:tab w:val="num" w:pos="720"/>
        </w:tabs>
        <w:spacing w:after="0" w:line="240" w:lineRule="auto"/>
        <w:rPr>
          <w:rFonts w:ascii="Fira Sans" w:hAnsi="Fira Sans"/>
          <w:b/>
          <w:bCs/>
        </w:rPr>
      </w:pPr>
    </w:p>
    <w:p w14:paraId="5BF058B1" w14:textId="5C540F35" w:rsidR="008A3B1C" w:rsidRPr="006D1D5A" w:rsidRDefault="008A3B1C" w:rsidP="008A3B1C">
      <w:pPr>
        <w:shd w:val="clear" w:color="auto" w:fill="FFFFFF"/>
        <w:tabs>
          <w:tab w:val="num" w:pos="720"/>
        </w:tabs>
        <w:spacing w:after="0" w:line="240" w:lineRule="auto"/>
        <w:rPr>
          <w:b/>
          <w:bCs/>
          <w:i/>
          <w:iCs/>
        </w:rPr>
      </w:pPr>
      <w:r w:rsidRPr="006D1D5A">
        <w:rPr>
          <w:b/>
          <w:bCs/>
          <w:i/>
          <w:iCs/>
        </w:rPr>
        <w:t>Adherence Prediction Analytics</w:t>
      </w:r>
    </w:p>
    <w:p w14:paraId="439D5DFB" w14:textId="40049CF8" w:rsidR="008A3B1C" w:rsidRPr="008A3B1C" w:rsidRDefault="008A3B1C" w:rsidP="008A3B1C">
      <w:pPr>
        <w:shd w:val="clear" w:color="auto" w:fill="FFFFFF"/>
        <w:tabs>
          <w:tab w:val="num" w:pos="720"/>
        </w:tabs>
        <w:spacing w:after="0" w:line="240" w:lineRule="auto"/>
      </w:pPr>
      <w:r>
        <w:t>Data was divided into train and test data sets</w:t>
      </w:r>
      <w:r w:rsidR="00681936">
        <w:t xml:space="preserve">, and then three methods were used to predict </w:t>
      </w:r>
      <w:r w:rsidR="00811632">
        <w:t xml:space="preserve">patient </w:t>
      </w:r>
      <w:r w:rsidR="00681936">
        <w:t>adherence</w:t>
      </w:r>
      <w:r w:rsidR="00C50166">
        <w:t>: Cox Proportional Hazards, Random Forest Survival, and Gradient Boosting.</w:t>
      </w:r>
      <w:r w:rsidR="00811632">
        <w:t xml:space="preserve">  </w:t>
      </w:r>
      <w:r w:rsidR="00B67FAC">
        <w:t xml:space="preserve">In addition to class materials and </w:t>
      </w:r>
      <w:r w:rsidR="00B67FAC">
        <w:rPr>
          <w:rFonts w:ascii="Calibri" w:hAnsi="Calibri" w:cs="Calibri"/>
        </w:rPr>
        <w:t>Lifelines</w:t>
      </w:r>
      <w:r w:rsidR="00B67FAC">
        <w:t xml:space="preserve"> package used in class, the </w:t>
      </w:r>
      <w:r w:rsidR="00811632" w:rsidRPr="004C5097">
        <w:rPr>
          <w:rFonts w:ascii="Calibri" w:hAnsi="Calibri" w:cs="Calibri"/>
        </w:rPr>
        <w:t>Scikit-Survival</w:t>
      </w:r>
      <w:r w:rsidR="00811632">
        <w:rPr>
          <w:rFonts w:ascii="Calibri" w:hAnsi="Calibri" w:cs="Calibri"/>
        </w:rPr>
        <w:t xml:space="preserve"> package in Python was employed for the ensemble models and result evaluation, and previous research from Humboldt University was helpful in developing </w:t>
      </w:r>
      <w:r w:rsidR="00B67FAC">
        <w:rPr>
          <w:rFonts w:ascii="Calibri" w:hAnsi="Calibri" w:cs="Calibri"/>
        </w:rPr>
        <w:t>my</w:t>
      </w:r>
      <w:r w:rsidR="00811632">
        <w:rPr>
          <w:rFonts w:ascii="Calibri" w:hAnsi="Calibri" w:cs="Calibri"/>
        </w:rPr>
        <w:t xml:space="preserve"> approach</w:t>
      </w:r>
      <w:r w:rsidR="007771D8">
        <w:t>.</w:t>
      </w:r>
      <w:r w:rsidR="007771D8">
        <w:rPr>
          <w:rStyle w:val="FootnoteReference"/>
        </w:rPr>
        <w:footnoteReference w:id="3"/>
      </w:r>
      <w:r w:rsidR="007771D8">
        <w:rPr>
          <w:rStyle w:val="FootnoteReference"/>
        </w:rPr>
        <w:footnoteReference w:id="4"/>
      </w:r>
      <w:r w:rsidR="007771D8">
        <w:t xml:space="preserve"> </w:t>
      </w:r>
      <w:r w:rsidR="00C50166">
        <w:t xml:space="preserve"> I was able to generate time-dependent AUC curves</w:t>
      </w:r>
      <w:r w:rsidR="00811632">
        <w:t xml:space="preserve"> for each method, which I found useful to compliment, Concordance Index and Integrated Breier Score in evaluating model performance. </w:t>
      </w:r>
    </w:p>
    <w:p w14:paraId="3A5EA518" w14:textId="77777777" w:rsidR="008A3B1C" w:rsidRDefault="008A3B1C" w:rsidP="006543A8">
      <w:pPr>
        <w:shd w:val="clear" w:color="auto" w:fill="FFFFFF"/>
        <w:tabs>
          <w:tab w:val="num" w:pos="720"/>
        </w:tabs>
        <w:spacing w:after="0" w:line="240" w:lineRule="auto"/>
        <w:rPr>
          <w:rFonts w:ascii="Fira Sans" w:hAnsi="Fira Sans"/>
          <w:b/>
          <w:bCs/>
        </w:rPr>
      </w:pPr>
    </w:p>
    <w:p w14:paraId="63A0F1EC" w14:textId="26FA7E1B" w:rsidR="006543A8" w:rsidRPr="006543A8" w:rsidRDefault="006543A8" w:rsidP="006543A8">
      <w:pPr>
        <w:shd w:val="clear" w:color="auto" w:fill="FFFFFF"/>
        <w:tabs>
          <w:tab w:val="num" w:pos="720"/>
        </w:tabs>
        <w:spacing w:after="0" w:line="240" w:lineRule="auto"/>
        <w:rPr>
          <w:rFonts w:ascii="Fira Sans" w:hAnsi="Fira Sans"/>
          <w:b/>
          <w:bCs/>
        </w:rPr>
      </w:pPr>
      <w:r>
        <w:rPr>
          <w:rFonts w:ascii="Fira Sans" w:hAnsi="Fira Sans"/>
          <w:b/>
          <w:bCs/>
        </w:rPr>
        <w:t>R</w:t>
      </w:r>
      <w:r w:rsidRPr="006543A8">
        <w:rPr>
          <w:rFonts w:ascii="Fira Sans" w:hAnsi="Fira Sans"/>
          <w:b/>
          <w:bCs/>
        </w:rPr>
        <w:t>esults</w:t>
      </w:r>
    </w:p>
    <w:p w14:paraId="081A771D" w14:textId="7B6A945F" w:rsidR="006543A8" w:rsidRDefault="00EE25D6" w:rsidP="006543A8">
      <w:pPr>
        <w:shd w:val="clear" w:color="auto" w:fill="FFFFFF"/>
        <w:tabs>
          <w:tab w:val="num" w:pos="720"/>
        </w:tabs>
        <w:spacing w:after="0" w:line="240" w:lineRule="auto"/>
      </w:pPr>
      <w:r>
        <w:t>I</w:t>
      </w:r>
      <w:r w:rsidR="00681936">
        <w:t>nitial Kaplan Meier and Cox Proportional hazard curves</w:t>
      </w:r>
      <w:r>
        <w:t xml:space="preserve"> show </w:t>
      </w:r>
      <w:r w:rsidR="008A3B1C">
        <w:t xml:space="preserve">a sharp drop in probability for survival </w:t>
      </w:r>
      <w:r w:rsidR="008A3C49">
        <w:t>after</w:t>
      </w:r>
      <w:r w:rsidR="008A3B1C">
        <w:t xml:space="preserve"> the first and second fills (approximately 30 and 60 days for a product that is dispensed in 28 and 30</w:t>
      </w:r>
      <w:r w:rsidR="006D1D5A">
        <w:t>-</w:t>
      </w:r>
      <w:proofErr w:type="spellStart"/>
      <w:r w:rsidR="008A3B1C">
        <w:t>days</w:t>
      </w:r>
      <w:proofErr w:type="spellEnd"/>
      <w:r w:rsidR="008A3B1C">
        <w:t xml:space="preserve"> supply</w:t>
      </w:r>
      <w:r w:rsidR="00681936">
        <w:t xml:space="preserve">).  </w:t>
      </w:r>
      <w:r w:rsidR="008A3C49">
        <w:t>Based on the time-dependent AUC curves</w:t>
      </w:r>
      <w:r w:rsidR="006D1D5A">
        <w:t xml:space="preserve"> for GLP-1s</w:t>
      </w:r>
      <w:r w:rsidR="008A3C49">
        <w:t xml:space="preserve">, we see our predicted adherence curves </w:t>
      </w:r>
      <w:r w:rsidR="006D1D5A">
        <w:t xml:space="preserve">improve as the duration increases and we have more knowledge of patient behavior. In the future, introducing average patient compliance or structuring PDC scores in windows of previous compliance (3, 6, </w:t>
      </w:r>
      <w:proofErr w:type="gramStart"/>
      <w:r w:rsidR="006D1D5A">
        <w:t>12 month</w:t>
      </w:r>
      <w:proofErr w:type="gramEnd"/>
      <w:r w:rsidR="006D1D5A">
        <w:t xml:space="preserve"> views) could also be used to demonstrate history prior to the study period and could help improve predictive capabilities earlier in the duration window.  Finally, additional factors such as prior authorization status</w:t>
      </w:r>
      <w:r>
        <w:t xml:space="preserve"> and</w:t>
      </w:r>
      <w:r w:rsidR="006D1D5A">
        <w:t xml:space="preserve"> loyalty program use could be interesting to see how or if they improve adherence, given that patient pay amount is a significant factor in predicting adherence. </w:t>
      </w:r>
    </w:p>
    <w:p w14:paraId="6727B67A" w14:textId="2E8133FB" w:rsidR="00461660" w:rsidRDefault="00461660" w:rsidP="006543A8">
      <w:pPr>
        <w:shd w:val="clear" w:color="auto" w:fill="FFFFFF"/>
        <w:tabs>
          <w:tab w:val="num" w:pos="720"/>
        </w:tabs>
        <w:spacing w:after="0" w:line="240" w:lineRule="auto"/>
      </w:pPr>
    </w:p>
    <w:p w14:paraId="5416345E" w14:textId="64ADB3DA" w:rsidR="006543A8" w:rsidRPr="006543A8" w:rsidRDefault="006543A8" w:rsidP="006543A8">
      <w:pPr>
        <w:shd w:val="clear" w:color="auto" w:fill="FFFFFF"/>
        <w:tabs>
          <w:tab w:val="num" w:pos="720"/>
        </w:tabs>
        <w:spacing w:after="0" w:line="240" w:lineRule="auto"/>
        <w:rPr>
          <w:rFonts w:ascii="Fira Sans" w:hAnsi="Fira Sans"/>
          <w:b/>
          <w:bCs/>
        </w:rPr>
      </w:pPr>
      <w:r>
        <w:rPr>
          <w:rFonts w:ascii="Fira Sans" w:hAnsi="Fira Sans"/>
          <w:b/>
          <w:bCs/>
        </w:rPr>
        <w:t>Reflections | Next Steps</w:t>
      </w:r>
    </w:p>
    <w:p w14:paraId="75C96A51" w14:textId="4A38296D" w:rsidR="00B67FAC" w:rsidRDefault="004C5097" w:rsidP="00811632">
      <w:pPr>
        <w:shd w:val="clear" w:color="auto" w:fill="FFFFFF"/>
        <w:tabs>
          <w:tab w:val="num" w:pos="720"/>
        </w:tabs>
        <w:spacing w:after="0" w:line="240" w:lineRule="auto"/>
      </w:pPr>
      <w:r>
        <w:t xml:space="preserve">I look forward to continuing to </w:t>
      </w:r>
      <w:proofErr w:type="gramStart"/>
      <w:r>
        <w:t>refin</w:t>
      </w:r>
      <w:r w:rsidR="00B67FAC">
        <w:t>ing</w:t>
      </w:r>
      <w:proofErr w:type="gramEnd"/>
      <w:r>
        <w:t xml:space="preserve"> this model and expand</w:t>
      </w:r>
      <w:r w:rsidR="00B67FAC">
        <w:t>ing</w:t>
      </w:r>
      <w:r>
        <w:t xml:space="preserve"> both methodologies and feature engineering to support </w:t>
      </w:r>
      <w:r w:rsidR="00B67FAC">
        <w:t>the</w:t>
      </w:r>
      <w:r>
        <w:t xml:space="preserve"> analysis.  </w:t>
      </w:r>
      <w:proofErr w:type="spellStart"/>
      <w:r w:rsidR="00B67FAC">
        <w:t>DeepSurv</w:t>
      </w:r>
      <w:proofErr w:type="spellEnd"/>
      <w:r>
        <w:t xml:space="preserve"> is an interesting approach that I began but requires additional work given the age of the code available (last updated </w:t>
      </w:r>
      <w:r w:rsidR="00B67FAC">
        <w:t>to support python 3.8</w:t>
      </w:r>
      <w:r>
        <w:t>)</w:t>
      </w:r>
      <w:r>
        <w:rPr>
          <w:rStyle w:val="FootnoteReference"/>
        </w:rPr>
        <w:footnoteReference w:id="5"/>
      </w:r>
      <w:r>
        <w:t xml:space="preserve">. </w:t>
      </w:r>
    </w:p>
    <w:p w14:paraId="7F503E56" w14:textId="77777777" w:rsidR="00B67FAC" w:rsidRDefault="00B67FAC" w:rsidP="00811632">
      <w:pPr>
        <w:shd w:val="clear" w:color="auto" w:fill="FFFFFF"/>
        <w:tabs>
          <w:tab w:val="num" w:pos="720"/>
        </w:tabs>
        <w:spacing w:after="0" w:line="240" w:lineRule="auto"/>
      </w:pPr>
    </w:p>
    <w:p w14:paraId="36021B6B" w14:textId="7B01636D" w:rsidR="00D53CD7" w:rsidRDefault="00B67FAC" w:rsidP="00811632">
      <w:pPr>
        <w:shd w:val="clear" w:color="auto" w:fill="FFFFFF"/>
        <w:tabs>
          <w:tab w:val="num" w:pos="720"/>
        </w:tabs>
        <w:spacing w:after="0" w:line="240" w:lineRule="auto"/>
      </w:pPr>
      <w:r w:rsidRPr="00B67FAC">
        <w:rPr>
          <w:b/>
          <w:bCs/>
        </w:rPr>
        <w:t>Note:</w:t>
      </w:r>
      <w:r>
        <w:t xml:space="preserve"> Several other studies and web-based resources were helpful in developing my approach and are referenced within the code based.  The reference list below were the most important sources. </w:t>
      </w:r>
      <w:r w:rsidR="00D53CD7">
        <w:br w:type="page"/>
      </w:r>
    </w:p>
    <w:p w14:paraId="492FD566" w14:textId="3FB3653D" w:rsidR="004C5097" w:rsidRPr="004C5097" w:rsidRDefault="00681936" w:rsidP="004C5097">
      <w:pPr>
        <w:pStyle w:val="Bibliography"/>
        <w:rPr>
          <w:rFonts w:ascii="Calibri" w:hAnsi="Calibri" w:cs="Calibri"/>
          <w:b/>
          <w:bCs/>
        </w:rPr>
      </w:pPr>
      <w:r w:rsidRPr="00681936">
        <w:rPr>
          <w:rFonts w:ascii="Calibri" w:hAnsi="Calibri" w:cs="Calibri"/>
          <w:b/>
          <w:bCs/>
        </w:rPr>
        <w:lastRenderedPageBreak/>
        <w:t xml:space="preserve">References: </w:t>
      </w:r>
      <w:r w:rsidR="00D53CD7">
        <w:fldChar w:fldCharType="begin"/>
      </w:r>
      <w:r w:rsidR="00D53CD7">
        <w:instrText xml:space="preserve"> ADDIN ZOTERO_BIBL {"uncited":[],"omitted":[],"custom":[]} CSL_BIBLIOGRAPHY </w:instrText>
      </w:r>
      <w:r w:rsidR="00D53CD7">
        <w:fldChar w:fldCharType="separate"/>
      </w:r>
    </w:p>
    <w:p w14:paraId="1C871C65" w14:textId="77777777" w:rsidR="004C5097" w:rsidRPr="004C5097" w:rsidRDefault="004C5097" w:rsidP="00811632">
      <w:pPr>
        <w:pStyle w:val="Bibliography"/>
        <w:numPr>
          <w:ilvl w:val="0"/>
          <w:numId w:val="3"/>
        </w:numPr>
        <w:rPr>
          <w:rFonts w:ascii="Calibri" w:hAnsi="Calibri" w:cs="Calibri"/>
        </w:rPr>
      </w:pPr>
      <w:r w:rsidRPr="004C5097">
        <w:rPr>
          <w:rFonts w:ascii="Calibri" w:hAnsi="Calibri" w:cs="Calibri"/>
        </w:rPr>
        <w:t>“</w:t>
      </w:r>
      <w:proofErr w:type="spellStart"/>
      <w:r w:rsidRPr="004C5097">
        <w:rPr>
          <w:rFonts w:ascii="Calibri" w:hAnsi="Calibri" w:cs="Calibri"/>
        </w:rPr>
        <w:t>RxNorm</w:t>
      </w:r>
      <w:proofErr w:type="spellEnd"/>
      <w:r w:rsidRPr="004C5097">
        <w:rPr>
          <w:rFonts w:ascii="Calibri" w:hAnsi="Calibri" w:cs="Calibri"/>
        </w:rPr>
        <w:t>.” Product, Program, and Project Descriptions. U.S. National Library of Medicine. Accessed December 19, 2023. https://www.nlm.nih.gov/research/umls/rxnorm/index.html.</w:t>
      </w:r>
    </w:p>
    <w:p w14:paraId="0659102F" w14:textId="77777777" w:rsidR="004C5097" w:rsidRDefault="004C5097" w:rsidP="00811632">
      <w:pPr>
        <w:pStyle w:val="Bibliography"/>
        <w:numPr>
          <w:ilvl w:val="0"/>
          <w:numId w:val="3"/>
        </w:numPr>
        <w:rPr>
          <w:rFonts w:ascii="Calibri" w:hAnsi="Calibri" w:cs="Calibri"/>
        </w:rPr>
      </w:pPr>
      <w:proofErr w:type="spellStart"/>
      <w:r w:rsidRPr="004C5097">
        <w:rPr>
          <w:rFonts w:ascii="Calibri" w:hAnsi="Calibri" w:cs="Calibri"/>
        </w:rPr>
        <w:t>Walonoski</w:t>
      </w:r>
      <w:proofErr w:type="spellEnd"/>
      <w:r w:rsidRPr="004C5097">
        <w:rPr>
          <w:rFonts w:ascii="Calibri" w:hAnsi="Calibri" w:cs="Calibri"/>
        </w:rPr>
        <w:t xml:space="preserve">, Jason, Mark Kramer, Joseph Nichols, Andre Quina, Chris </w:t>
      </w:r>
      <w:proofErr w:type="spellStart"/>
      <w:r w:rsidRPr="004C5097">
        <w:rPr>
          <w:rFonts w:ascii="Calibri" w:hAnsi="Calibri" w:cs="Calibri"/>
        </w:rPr>
        <w:t>Moesel</w:t>
      </w:r>
      <w:proofErr w:type="spellEnd"/>
      <w:r w:rsidRPr="004C5097">
        <w:rPr>
          <w:rFonts w:ascii="Calibri" w:hAnsi="Calibri" w:cs="Calibri"/>
        </w:rPr>
        <w:t xml:space="preserve">, Dylan Hall, Carlton Duffett, Kudakwashe Dube, Thomas Gallagher, and Scott McLachlan. “Synthea: An Approach, Method, and Software Mechanism for Generating Synthetic Patients and the Synthetic Electronic Health Care Record.” </w:t>
      </w:r>
      <w:r w:rsidRPr="004C5097">
        <w:rPr>
          <w:rFonts w:ascii="Calibri" w:hAnsi="Calibri" w:cs="Calibri"/>
          <w:i/>
          <w:iCs/>
        </w:rPr>
        <w:t>Journal of the American Medical Informatics Association</w:t>
      </w:r>
      <w:r w:rsidRPr="004C5097">
        <w:rPr>
          <w:rFonts w:ascii="Calibri" w:hAnsi="Calibri" w:cs="Calibri"/>
        </w:rPr>
        <w:t xml:space="preserve"> 25, no. 3 (March 1, 2018): 230–38. https://doi.org/10.1093/jamia/ocx079.</w:t>
      </w:r>
    </w:p>
    <w:p w14:paraId="46E69C48" w14:textId="045276C9" w:rsidR="004C5097" w:rsidRPr="004C5097" w:rsidRDefault="004C5097" w:rsidP="00811632">
      <w:pPr>
        <w:pStyle w:val="Bibliography"/>
        <w:numPr>
          <w:ilvl w:val="0"/>
          <w:numId w:val="3"/>
        </w:numPr>
        <w:rPr>
          <w:rFonts w:ascii="Calibri" w:hAnsi="Calibri" w:cs="Calibri"/>
        </w:rPr>
      </w:pPr>
      <w:r w:rsidRPr="004C5097">
        <w:rPr>
          <w:rFonts w:ascii="Calibri" w:hAnsi="Calibri" w:cs="Calibri"/>
        </w:rPr>
        <w:t>“Ensemble Models — Scikit-Survival 0.22.2.” Accessed December 19, 2023. https://scikit-survival.readthedocs.io/en/latest/api/ensemble.html.</w:t>
      </w:r>
    </w:p>
    <w:p w14:paraId="1EF73A09" w14:textId="0D7A21F8" w:rsidR="004C5097" w:rsidRPr="00811632" w:rsidRDefault="004C5097" w:rsidP="00811632">
      <w:pPr>
        <w:pStyle w:val="ListParagraph"/>
        <w:numPr>
          <w:ilvl w:val="0"/>
          <w:numId w:val="3"/>
        </w:numPr>
        <w:rPr>
          <w:rFonts w:ascii="Calibri" w:hAnsi="Calibri" w:cs="Calibri"/>
        </w:rPr>
      </w:pPr>
      <w:r w:rsidRPr="00811632">
        <w:rPr>
          <w:rFonts w:ascii="Calibri" w:hAnsi="Calibri" w:cs="Calibri"/>
        </w:rPr>
        <w:t>“Deep Learning for Survival Analysis.” Accessed December 13, 2023. https://humboldt-wi.github.io/blog/research/information_systems_1920/group2_survivalanalysis//.</w:t>
      </w:r>
    </w:p>
    <w:p w14:paraId="28D124B8" w14:textId="77777777" w:rsidR="004C5097" w:rsidRDefault="004C5097" w:rsidP="00811632">
      <w:pPr>
        <w:pStyle w:val="Bibliography"/>
        <w:numPr>
          <w:ilvl w:val="0"/>
          <w:numId w:val="3"/>
        </w:numPr>
        <w:rPr>
          <w:rFonts w:ascii="Calibri" w:hAnsi="Calibri" w:cs="Calibri"/>
        </w:rPr>
      </w:pPr>
      <w:r w:rsidRPr="004C5097">
        <w:rPr>
          <w:rFonts w:ascii="Calibri" w:hAnsi="Calibri" w:cs="Calibri"/>
        </w:rPr>
        <w:t>Katzman, Jared L., Uri Shaham, Alexander Cloninger, Jonathan Bates, Tingting Jiang, and Yuval Kluger. “</w:t>
      </w:r>
      <w:proofErr w:type="spellStart"/>
      <w:r w:rsidRPr="004C5097">
        <w:rPr>
          <w:rFonts w:ascii="Calibri" w:hAnsi="Calibri" w:cs="Calibri"/>
        </w:rPr>
        <w:t>DeepSurv</w:t>
      </w:r>
      <w:proofErr w:type="spellEnd"/>
      <w:r w:rsidRPr="004C5097">
        <w:rPr>
          <w:rFonts w:ascii="Calibri" w:hAnsi="Calibri" w:cs="Calibri"/>
        </w:rPr>
        <w:t xml:space="preserve">: Personalized Treatment Recommender System Using a Cox Proportional Hazards Deep Neural Network.” </w:t>
      </w:r>
      <w:r w:rsidRPr="004C5097">
        <w:rPr>
          <w:rFonts w:ascii="Calibri" w:hAnsi="Calibri" w:cs="Calibri"/>
          <w:i/>
          <w:iCs/>
        </w:rPr>
        <w:t>BMC Medical Research Methodology</w:t>
      </w:r>
      <w:r w:rsidRPr="004C5097">
        <w:rPr>
          <w:rFonts w:ascii="Calibri" w:hAnsi="Calibri" w:cs="Calibri"/>
        </w:rPr>
        <w:t xml:space="preserve"> 18, no. 1 (February 26, 2018): 24. https://doi.org/10.1186/s12874-018-0482-1.</w:t>
      </w:r>
    </w:p>
    <w:p w14:paraId="056BAD36" w14:textId="77777777" w:rsidR="004C5097" w:rsidRPr="004C5097" w:rsidRDefault="004C5097" w:rsidP="004C5097"/>
    <w:p w14:paraId="263DB839" w14:textId="77777777" w:rsidR="004C5097" w:rsidRPr="004C5097" w:rsidRDefault="004C5097" w:rsidP="004C5097"/>
    <w:p w14:paraId="593E3F7C" w14:textId="35CB745C" w:rsidR="00D53CD7" w:rsidRPr="006543A8" w:rsidRDefault="00D53CD7" w:rsidP="006543A8">
      <w:pPr>
        <w:shd w:val="clear" w:color="auto" w:fill="FFFFFF"/>
        <w:tabs>
          <w:tab w:val="num" w:pos="720"/>
        </w:tabs>
        <w:spacing w:after="0" w:line="240" w:lineRule="auto"/>
      </w:pPr>
      <w:r>
        <w:fldChar w:fldCharType="end"/>
      </w:r>
    </w:p>
    <w:sectPr w:rsidR="00D53CD7" w:rsidRPr="006543A8" w:rsidSect="006D1D5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6773C" w14:textId="77777777" w:rsidR="00062870" w:rsidRDefault="00062870" w:rsidP="00062870">
      <w:pPr>
        <w:spacing w:after="0" w:line="240" w:lineRule="auto"/>
      </w:pPr>
      <w:r>
        <w:separator/>
      </w:r>
    </w:p>
  </w:endnote>
  <w:endnote w:type="continuationSeparator" w:id="0">
    <w:p w14:paraId="04C4E916" w14:textId="77777777" w:rsidR="00062870" w:rsidRDefault="00062870" w:rsidP="0006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Condensed Medium">
    <w:charset w:val="00"/>
    <w:family w:val="swiss"/>
    <w:pitch w:val="variable"/>
    <w:sig w:usb0="600002FF" w:usb1="00000001" w:usb2="00000000" w:usb3="00000000" w:csb0="0000019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D815" w14:textId="18DF07B7" w:rsidR="000F307E" w:rsidRPr="00681936" w:rsidRDefault="000F307E">
    <w:pPr>
      <w:pStyle w:val="Footer"/>
      <w:rPr>
        <w:color w:val="BFBFBF" w:themeColor="background1" w:themeShade="BF"/>
      </w:rPr>
    </w:pPr>
    <w:proofErr w:type="spellStart"/>
    <w:r w:rsidRPr="00681936">
      <w:rPr>
        <w:color w:val="BFBFBF" w:themeColor="background1" w:themeShade="BF"/>
      </w:rPr>
      <w:t>Merilytic</w:t>
    </w:r>
    <w:proofErr w:type="spellEnd"/>
    <w:r w:rsidRPr="00681936">
      <w:rPr>
        <w:color w:val="BFBFBF" w:themeColor="background1" w:themeShade="BF"/>
      </w:rPr>
      <w:t xml:space="preserve"> Health</w:t>
    </w:r>
    <w:r w:rsidR="00681936" w:rsidRPr="00681936">
      <w:rPr>
        <w:color w:val="BFBFBF" w:themeColor="background1" w:themeShade="BF"/>
      </w:rPr>
      <w:t>, LLC</w:t>
    </w:r>
    <w:r w:rsidR="00EE25D6">
      <w:rPr>
        <w:color w:val="BFBFBF" w:themeColor="background1" w:themeShade="BF"/>
      </w:rPr>
      <w:t>:</w:t>
    </w:r>
    <w:r w:rsidRPr="00681936">
      <w:rPr>
        <w:color w:val="BFBFBF" w:themeColor="background1" w:themeShade="BF"/>
      </w:rPr>
      <w:t xml:space="preserve"> Confidential and Proprietary </w:t>
    </w:r>
    <w:r w:rsidR="00EE25D6">
      <w:rPr>
        <w:color w:val="BFBFBF" w:themeColor="background1" w:themeShade="BF"/>
      </w:rPr>
      <w:t>I</w:t>
    </w:r>
    <w:r w:rsidRPr="00681936">
      <w:rPr>
        <w:color w:val="BFBFBF" w:themeColor="background1" w:themeShade="BF"/>
      </w:rPr>
      <w:t xml:space="preserve">nformation, not for distribution to </w:t>
    </w:r>
    <w:r w:rsidR="00664394">
      <w:rPr>
        <w:color w:val="BFBFBF" w:themeColor="background1" w:themeShade="BF"/>
      </w:rPr>
      <w:t>individuals</w:t>
    </w:r>
    <w:r w:rsidRPr="00681936">
      <w:rPr>
        <w:color w:val="BFBFBF" w:themeColor="background1" w:themeShade="BF"/>
      </w:rPr>
      <w:t xml:space="preserve"> outside the Harvard </w:t>
    </w:r>
    <w:r w:rsidR="00EE25D6">
      <w:rPr>
        <w:color w:val="BFBFBF" w:themeColor="background1" w:themeShade="BF"/>
      </w:rPr>
      <w:t xml:space="preserve">University, </w:t>
    </w:r>
    <w:r w:rsidR="00811632">
      <w:rPr>
        <w:color w:val="BFBFBF" w:themeColor="background1" w:themeShade="BF"/>
      </w:rPr>
      <w:t xml:space="preserve">Division of </w:t>
    </w:r>
    <w:r w:rsidRPr="00681936">
      <w:rPr>
        <w:color w:val="BFBFBF" w:themeColor="background1" w:themeShade="BF"/>
      </w:rPr>
      <w:t>Continuing Education Course: CSCI 82 Fall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09742" w14:textId="77777777" w:rsidR="00062870" w:rsidRDefault="00062870" w:rsidP="00062870">
      <w:pPr>
        <w:spacing w:after="0" w:line="240" w:lineRule="auto"/>
      </w:pPr>
      <w:r>
        <w:separator/>
      </w:r>
    </w:p>
  </w:footnote>
  <w:footnote w:type="continuationSeparator" w:id="0">
    <w:p w14:paraId="7446E7DE" w14:textId="77777777" w:rsidR="00062870" w:rsidRDefault="00062870" w:rsidP="00062870">
      <w:pPr>
        <w:spacing w:after="0" w:line="240" w:lineRule="auto"/>
      </w:pPr>
      <w:r>
        <w:continuationSeparator/>
      </w:r>
    </w:p>
  </w:footnote>
  <w:footnote w:id="1">
    <w:p w14:paraId="52AF89CC" w14:textId="255F34A1" w:rsidR="00D53CD7" w:rsidRDefault="00D53CD7">
      <w:pPr>
        <w:pStyle w:val="FootnoteText"/>
      </w:pPr>
      <w:r>
        <w:rPr>
          <w:rStyle w:val="FootnoteReference"/>
        </w:rPr>
        <w:footnoteRef/>
      </w:r>
      <w:r>
        <w:t xml:space="preserve"> </w:t>
      </w:r>
      <w:r>
        <w:fldChar w:fldCharType="begin"/>
      </w:r>
      <w:r>
        <w:instrText xml:space="preserve"> ADDIN ZOTERO_ITEM CSL_CITATION {"citationID":"bmyVc8Oo","properties":{"formattedCitation":"Walonoski et al., \\uc0\\u8220{}Synthea.\\uc0\\u8221{}","plainCitation":"Walonoski et al., “Synthea.”","noteIndex":1},"citationItems":[{"id":75,"uris":["http://zotero.org/users/local/nOqLnP0c/items/GNYIZ5I9"],"itemData":{"id":75,"type":"article-journal","abstract":"Objective: Our objective is to create a source of synthetic electronic health records that is readily available; suited to industrial, innovation, research, and educational uses; and free of legal, privacy, security, and intellectual property restrictions. Materials and Methods: We developed Synthea, an open-source software package that simulates the lifespans of synthetic patients, modeling the 10 most frequent reasons for primary care encounters and the 10 chronic conditions with the highest morbidity in the United States.\nResults: Synthea adheres to a previously developed conceptual framework, scales via open-source deployment on the Internet, and may be extended with additional disease and treatment modules developed by its user community. One million synthetic patient records are now freely available online, encoded in standard formats (eg, Health Level-7 [HL7] Fast Healthcare Interoperability Resources [FHIR] and Consolidated-Clinical Document Architecture), and accessible through an HL7 FHIR application program interface. Discussion: Health care lags other industries in information technology, data exchange, and interoperability. The lack of freely distributable health records has long hindered innovation in health care. Approaches and tools are available to inexpensively generate synthetic health records at scale without accidental disclosure risk, lowering current barriers to entry for promising early-stage developments. By engaging a growing community of users, the synthetic data generated will become increasingly comprehensive, detailed, and realistic over time.\nConclusion: Synthetic patients can be simulated with models of disease progression and corresponding standards of care to produce risk-free realistic synthetic health care records at scale.","container-title":"Journal of the American Medical Informatics Association","DOI":"10.1093/jamia/ocx079","ISSN":"1067-5027, 1527-974X","issue":"3","language":"en","page":"230-238","source":"DOI.org (Crossref)","title":"Synthea: An approach, method, and software mechanism for generating synthetic patients and the synthetic electronic health care record","title-short":"Synthea","volume":"25","author":[{"family":"Walonoski","given":"Jason"},{"family":"Kramer","given":"Mark"},{"family":"Nichols","given":"Joseph"},{"family":"Quina","given":"Andre"},{"family":"Moesel","given":"Chris"},{"family":"Hall","given":"Dylan"},{"family":"Duffett","given":"Carlton"},{"family":"Dube","given":"Kudakwashe"},{"family":"Gallagher","given":"Thomas"},{"family":"McLachlan","given":"Scott"}],"issued":{"date-parts":[["2018",3,1]]}}}],"schema":"https://github.com/citation-style-language/schema/raw/master/csl-citation.json"} </w:instrText>
      </w:r>
      <w:r>
        <w:fldChar w:fldCharType="separate"/>
      </w:r>
      <w:proofErr w:type="spellStart"/>
      <w:r w:rsidRPr="00D53CD7">
        <w:rPr>
          <w:rFonts w:ascii="Calibri" w:hAnsi="Calibri" w:cs="Calibri"/>
          <w:kern w:val="0"/>
          <w:szCs w:val="24"/>
        </w:rPr>
        <w:t>Walonoski</w:t>
      </w:r>
      <w:proofErr w:type="spellEnd"/>
      <w:r w:rsidRPr="00D53CD7">
        <w:rPr>
          <w:rFonts w:ascii="Calibri" w:hAnsi="Calibri" w:cs="Calibri"/>
          <w:kern w:val="0"/>
          <w:szCs w:val="24"/>
        </w:rPr>
        <w:t xml:space="preserve"> et al., “Synthea.”</w:t>
      </w:r>
      <w:r>
        <w:fldChar w:fldCharType="end"/>
      </w:r>
    </w:p>
  </w:footnote>
  <w:footnote w:id="2">
    <w:p w14:paraId="1B26DE11" w14:textId="10EDF199" w:rsidR="00A2608F" w:rsidRDefault="00A2608F">
      <w:pPr>
        <w:pStyle w:val="FootnoteText"/>
      </w:pPr>
      <w:r>
        <w:rPr>
          <w:rStyle w:val="FootnoteReference"/>
        </w:rPr>
        <w:footnoteRef/>
      </w:r>
      <w:r>
        <w:t xml:space="preserve"> </w:t>
      </w:r>
      <w:r>
        <w:fldChar w:fldCharType="begin"/>
      </w:r>
      <w:r>
        <w:instrText xml:space="preserve"> ADDIN ZOTERO_ITEM CSL_CITATION {"citationID":"WpV3ANpY","properties":{"formattedCitation":"\\uc0\\u8220{}RxNorm.\\uc0\\u8221{}","plainCitation":"“RxNorm.”","noteIndex":2},"citationItems":[{"id":172,"uris":["http://zotero.org/users/local/nOqLnP0c/items/LP4EIAY5"],"itemData":{"id":172,"type":"webpage","genre":"Product, Program, and Project Descriptions","language":"eng","license":"Public Domain","note":"publisher: U.S. National Library of Medicine","title":"RxNorm","URL":"https://www.nlm.nih.gov/research/umls/rxnorm/index.html","accessed":{"date-parts":[["2023",12,19]]}}}],"schema":"https://github.com/citation-style-language/schema/raw/master/csl-citation.json"} </w:instrText>
      </w:r>
      <w:r>
        <w:fldChar w:fldCharType="separate"/>
      </w:r>
      <w:r w:rsidRPr="00A2608F">
        <w:rPr>
          <w:rFonts w:ascii="Calibri" w:hAnsi="Calibri" w:cs="Calibri"/>
          <w:kern w:val="0"/>
          <w:szCs w:val="24"/>
        </w:rPr>
        <w:t>“</w:t>
      </w:r>
      <w:proofErr w:type="spellStart"/>
      <w:r w:rsidRPr="00A2608F">
        <w:rPr>
          <w:rFonts w:ascii="Calibri" w:hAnsi="Calibri" w:cs="Calibri"/>
          <w:kern w:val="0"/>
          <w:szCs w:val="24"/>
        </w:rPr>
        <w:t>RxNorm</w:t>
      </w:r>
      <w:proofErr w:type="spellEnd"/>
      <w:r w:rsidRPr="00A2608F">
        <w:rPr>
          <w:rFonts w:ascii="Calibri" w:hAnsi="Calibri" w:cs="Calibri"/>
          <w:kern w:val="0"/>
          <w:szCs w:val="24"/>
        </w:rPr>
        <w:t>.”</w:t>
      </w:r>
      <w:r>
        <w:fldChar w:fldCharType="end"/>
      </w:r>
    </w:p>
  </w:footnote>
  <w:footnote w:id="3">
    <w:p w14:paraId="2B34E140" w14:textId="1F03F8B9" w:rsidR="007771D8" w:rsidRDefault="007771D8">
      <w:pPr>
        <w:pStyle w:val="FootnoteText"/>
      </w:pPr>
      <w:r>
        <w:rPr>
          <w:rStyle w:val="FootnoteReference"/>
        </w:rPr>
        <w:footnoteRef/>
      </w:r>
      <w:r>
        <w:t xml:space="preserve"> </w:t>
      </w:r>
      <w:r>
        <w:fldChar w:fldCharType="begin"/>
      </w:r>
      <w:r>
        <w:instrText xml:space="preserve"> ADDIN ZOTERO_ITEM CSL_CITATION {"citationID":"zYZ8t3Vb","properties":{"formattedCitation":"\\uc0\\u8220{}Deep Learning for Survival Analysis.\\uc0\\u8221{}","plainCitation":"“Deep Learning for Survival Analysis.”","noteIndex":3},"citationItems":[{"id":137,"uris":["http://zotero.org/users/local/nOqLnP0c/items/NHABM7DA"],"itemData":{"id":137,"type":"webpage","abstract":"Credit risk analytics using deep learning survival analysis","language":"en-us","title":"Deep Learning for Survival Analysis","URL":"https://humboldt-wi.github.io/blog/research/information_systems_1920/group2_survivalanalysis//","accessed":{"date-parts":[["2023",12,13]]}}}],"schema":"https://github.com/citation-style-language/schema/raw/master/csl-citation.json"} </w:instrText>
      </w:r>
      <w:r>
        <w:fldChar w:fldCharType="separate"/>
      </w:r>
      <w:r w:rsidRPr="007771D8">
        <w:rPr>
          <w:rFonts w:ascii="Calibri" w:hAnsi="Calibri" w:cs="Calibri"/>
          <w:kern w:val="0"/>
          <w:szCs w:val="24"/>
        </w:rPr>
        <w:t>“Deep Learning for Survival Analysis.”</w:t>
      </w:r>
      <w:r>
        <w:fldChar w:fldCharType="end"/>
      </w:r>
    </w:p>
  </w:footnote>
  <w:footnote w:id="4">
    <w:p w14:paraId="4B86A30D" w14:textId="74082F8B" w:rsidR="007771D8" w:rsidRDefault="007771D8">
      <w:pPr>
        <w:pStyle w:val="FootnoteText"/>
      </w:pPr>
      <w:r>
        <w:rPr>
          <w:rStyle w:val="FootnoteReference"/>
        </w:rPr>
        <w:footnoteRef/>
      </w:r>
      <w:r>
        <w:t xml:space="preserve"> </w:t>
      </w:r>
      <w:r>
        <w:fldChar w:fldCharType="begin"/>
      </w:r>
      <w:r>
        <w:instrText xml:space="preserve"> ADDIN ZOTERO_ITEM CSL_CITATION {"citationID":"cDlKuChv","properties":{"formattedCitation":"\\uc0\\u8220{}Ensemble Models \\uc0\\u8212{} Scikit-Survival 0.22.2.\\uc0\\u8221{}","plainCitation":"“Ensemble Models — Scikit-Survival 0.22.2.”","noteIndex":4},"citationItems":[{"id":176,"uris":["http://zotero.org/users/local/nOqLnP0c/items/TQVM4XN7"],"itemData":{"id":176,"type":"webpage","title":"Ensemble Models — scikit-survival 0.22.2","URL":"https://scikit-survival.readthedocs.io/en/latest/api/ensemble.html","accessed":{"date-parts":[["2023",12,19]]}}}],"schema":"https://github.com/citation-style-language/schema/raw/master/csl-citation.json"} </w:instrText>
      </w:r>
      <w:r>
        <w:fldChar w:fldCharType="separate"/>
      </w:r>
      <w:r w:rsidRPr="007771D8">
        <w:rPr>
          <w:rFonts w:ascii="Calibri" w:hAnsi="Calibri" w:cs="Calibri"/>
          <w:kern w:val="0"/>
          <w:szCs w:val="24"/>
        </w:rPr>
        <w:t>“Ensemble Models — Scikit-Survival 0.22.2.”</w:t>
      </w:r>
      <w:r>
        <w:fldChar w:fldCharType="end"/>
      </w:r>
    </w:p>
  </w:footnote>
  <w:footnote w:id="5">
    <w:p w14:paraId="34CB622D" w14:textId="5730C603" w:rsidR="004C5097" w:rsidRDefault="004C5097">
      <w:pPr>
        <w:pStyle w:val="FootnoteText"/>
      </w:pPr>
      <w:r>
        <w:rPr>
          <w:rStyle w:val="FootnoteReference"/>
        </w:rPr>
        <w:footnoteRef/>
      </w:r>
      <w:r>
        <w:t xml:space="preserve"> </w:t>
      </w:r>
      <w:r>
        <w:fldChar w:fldCharType="begin"/>
      </w:r>
      <w:r>
        <w:instrText xml:space="preserve"> ADDIN ZOTERO_ITEM CSL_CITATION {"citationID":"W83FTGjr","properties":{"formattedCitation":"Katzman et al., \\uc0\\u8220{}DeepSurv.\\uc0\\u8221{}","plainCitation":"Katzman et al., “DeepSurv.”","noteIndex":5},"citationItems":[{"id":169,"uris":["http://zotero.org/users/local/nOqLnP0c/items/IUKZ64JH"],"itemData":{"id":169,"type":"article-journal","abstract":"Medical practitioners use survival models to explore and understand the relationships between patients’ covariates (e.g. clinical and genetic features) and the effectiveness of various treatment options. Standard survival models like the linear Cox proportional hazards model require extensive feature engineering or prior medical knowledge to model treatment interaction at an individual level. While nonlinear survival methods, such as neural networks and survival forests, can inherently model these high-level interaction terms, they have yet to be shown as effective treatment recommender systems.","container-title":"BMC Medical Research Methodology","DOI":"10.1186/s12874-018-0482-1","ISSN":"1471-2288","issue":"1","journalAbbreviation":"BMC Medical Research Methodology","page":"24","source":"BioMed Central","title":"DeepSurv: personalized treatment recommender system using a Cox proportional hazards deep neural network","title-short":"DeepSurv","volume":"18","author":[{"family":"Katzman","given":"Jared L."},{"family":"Shaham","given":"Uri"},{"family":"Cloninger","given":"Alexander"},{"family":"Bates","given":"Jonathan"},{"family":"Jiang","given":"Tingting"},{"family":"Kluger","given":"Yuval"}],"issued":{"date-parts":[["2018",2,26]]}}}],"schema":"https://github.com/citation-style-language/schema/raw/master/csl-citation.json"} </w:instrText>
      </w:r>
      <w:r>
        <w:fldChar w:fldCharType="separate"/>
      </w:r>
      <w:r w:rsidRPr="004C5097">
        <w:rPr>
          <w:rFonts w:ascii="Calibri" w:hAnsi="Calibri" w:cs="Calibri"/>
          <w:kern w:val="0"/>
          <w:szCs w:val="24"/>
        </w:rPr>
        <w:t>Katzman et al., “</w:t>
      </w:r>
      <w:proofErr w:type="spellStart"/>
      <w:r w:rsidRPr="004C5097">
        <w:rPr>
          <w:rFonts w:ascii="Calibri" w:hAnsi="Calibri" w:cs="Calibri"/>
          <w:kern w:val="0"/>
          <w:szCs w:val="24"/>
        </w:rPr>
        <w:t>DeepSurv</w:t>
      </w:r>
      <w:proofErr w:type="spellEnd"/>
      <w:r w:rsidRPr="004C5097">
        <w:rPr>
          <w:rFonts w:ascii="Calibri" w:hAnsi="Calibri" w:cs="Calibri"/>
          <w:kern w:val="0"/>
          <w:szCs w:val="24"/>
        </w:rPr>
        <w: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6ED2"/>
    <w:multiLevelType w:val="multilevel"/>
    <w:tmpl w:val="802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325E"/>
    <w:multiLevelType w:val="hybridMultilevel"/>
    <w:tmpl w:val="F1A4A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045DA"/>
    <w:multiLevelType w:val="hybridMultilevel"/>
    <w:tmpl w:val="1A360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910288">
    <w:abstractNumId w:val="0"/>
  </w:num>
  <w:num w:numId="2" w16cid:durableId="960889553">
    <w:abstractNumId w:val="1"/>
  </w:num>
  <w:num w:numId="3" w16cid:durableId="242884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A8"/>
    <w:rsid w:val="00062870"/>
    <w:rsid w:val="000F307E"/>
    <w:rsid w:val="00171099"/>
    <w:rsid w:val="00230E0D"/>
    <w:rsid w:val="00352763"/>
    <w:rsid w:val="004458C3"/>
    <w:rsid w:val="00461660"/>
    <w:rsid w:val="004C5097"/>
    <w:rsid w:val="006543A8"/>
    <w:rsid w:val="00664394"/>
    <w:rsid w:val="00681936"/>
    <w:rsid w:val="006D1D5A"/>
    <w:rsid w:val="007771D8"/>
    <w:rsid w:val="00811632"/>
    <w:rsid w:val="00813885"/>
    <w:rsid w:val="008A3B1C"/>
    <w:rsid w:val="008A3C49"/>
    <w:rsid w:val="008B79E3"/>
    <w:rsid w:val="009A52D4"/>
    <w:rsid w:val="009F57BB"/>
    <w:rsid w:val="00A2608F"/>
    <w:rsid w:val="00A743BC"/>
    <w:rsid w:val="00AA259E"/>
    <w:rsid w:val="00B46F08"/>
    <w:rsid w:val="00B67FAC"/>
    <w:rsid w:val="00C50166"/>
    <w:rsid w:val="00D53CD7"/>
    <w:rsid w:val="00EE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0849"/>
  <w15:chartTrackingRefBased/>
  <w15:docId w15:val="{C6896B30-6A54-488A-9FED-C9B429E5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28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870"/>
    <w:rPr>
      <w:sz w:val="20"/>
      <w:szCs w:val="20"/>
    </w:rPr>
  </w:style>
  <w:style w:type="character" w:styleId="FootnoteReference">
    <w:name w:val="footnote reference"/>
    <w:basedOn w:val="DefaultParagraphFont"/>
    <w:uiPriority w:val="99"/>
    <w:semiHidden/>
    <w:unhideWhenUsed/>
    <w:rsid w:val="00062870"/>
    <w:rPr>
      <w:vertAlign w:val="superscript"/>
    </w:rPr>
  </w:style>
  <w:style w:type="paragraph" w:styleId="EndnoteText">
    <w:name w:val="endnote text"/>
    <w:basedOn w:val="Normal"/>
    <w:link w:val="EndnoteTextChar"/>
    <w:uiPriority w:val="99"/>
    <w:semiHidden/>
    <w:unhideWhenUsed/>
    <w:rsid w:val="000628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2870"/>
    <w:rPr>
      <w:sz w:val="20"/>
      <w:szCs w:val="20"/>
    </w:rPr>
  </w:style>
  <w:style w:type="character" w:styleId="EndnoteReference">
    <w:name w:val="endnote reference"/>
    <w:basedOn w:val="DefaultParagraphFont"/>
    <w:uiPriority w:val="99"/>
    <w:semiHidden/>
    <w:unhideWhenUsed/>
    <w:rsid w:val="00062870"/>
    <w:rPr>
      <w:vertAlign w:val="superscript"/>
    </w:rPr>
  </w:style>
  <w:style w:type="paragraph" w:styleId="Bibliography">
    <w:name w:val="Bibliography"/>
    <w:basedOn w:val="Normal"/>
    <w:next w:val="Normal"/>
    <w:uiPriority w:val="37"/>
    <w:unhideWhenUsed/>
    <w:rsid w:val="00D53CD7"/>
  </w:style>
  <w:style w:type="paragraph" w:styleId="Header">
    <w:name w:val="header"/>
    <w:basedOn w:val="Normal"/>
    <w:link w:val="HeaderChar"/>
    <w:uiPriority w:val="99"/>
    <w:unhideWhenUsed/>
    <w:rsid w:val="000F3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7E"/>
  </w:style>
  <w:style w:type="paragraph" w:styleId="Footer">
    <w:name w:val="footer"/>
    <w:basedOn w:val="Normal"/>
    <w:link w:val="FooterChar"/>
    <w:uiPriority w:val="99"/>
    <w:unhideWhenUsed/>
    <w:rsid w:val="000F3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7E"/>
  </w:style>
  <w:style w:type="paragraph" w:styleId="ListParagraph">
    <w:name w:val="List Paragraph"/>
    <w:basedOn w:val="Normal"/>
    <w:uiPriority w:val="34"/>
    <w:qFormat/>
    <w:rsid w:val="00811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917">
      <w:bodyDiv w:val="1"/>
      <w:marLeft w:val="0"/>
      <w:marRight w:val="0"/>
      <w:marTop w:val="0"/>
      <w:marBottom w:val="0"/>
      <w:divBdr>
        <w:top w:val="none" w:sz="0" w:space="0" w:color="auto"/>
        <w:left w:val="none" w:sz="0" w:space="0" w:color="auto"/>
        <w:bottom w:val="none" w:sz="0" w:space="0" w:color="auto"/>
        <w:right w:val="none" w:sz="0" w:space="0" w:color="auto"/>
      </w:divBdr>
    </w:div>
    <w:div w:id="5814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10ADD-5E2B-49D4-8F10-281D043F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Rebholz</dc:creator>
  <cp:keywords/>
  <dc:description/>
  <cp:lastModifiedBy>Erin Rebholz</cp:lastModifiedBy>
  <cp:revision>4</cp:revision>
  <cp:lastPrinted>2023-12-19T21:25:00Z</cp:lastPrinted>
  <dcterms:created xsi:type="dcterms:W3CDTF">2023-12-19T15:58:00Z</dcterms:created>
  <dcterms:modified xsi:type="dcterms:W3CDTF">2023-12-19T23:26:00Z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id="PoQV4ZIh"/&gt;&lt;style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