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504892"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b/>
          <w:bCs/>
          <w:lang w:eastAsia="pt-BR"/>
        </w:rPr>
        <w:t>INVESTIMENTO</w:t>
      </w:r>
    </w:p>
    <w:p w14:paraId="60FCDA42"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1 - Considerando a necessidade de prefixação (mesmo provisória) da arbitragem dos honorários periciais;</w:t>
      </w:r>
    </w:p>
    <w:p w14:paraId="5F4E1248"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51203B1B"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2 - Considerando a especificidade do trabalho, a complexidade técnica da definição da LPM-1831</w:t>
      </w:r>
      <w:r w:rsidRPr="00612F79">
        <w:rPr>
          <w:rFonts w:ascii="Arial" w:eastAsia="Times New Roman" w:hAnsi="Arial" w:cs="Arial"/>
          <w:vertAlign w:val="superscript"/>
          <w:lang w:eastAsia="pt-BR"/>
        </w:rPr>
        <w:t>*</w:t>
      </w:r>
      <w:r w:rsidRPr="00612F79">
        <w:rPr>
          <w:rFonts w:ascii="Arial" w:eastAsia="Times New Roman" w:hAnsi="Arial" w:cs="Arial"/>
          <w:lang w:eastAsia="pt-BR"/>
        </w:rPr>
        <w:t>, a abrangência geográfica da área e a parcela de 540 m</w:t>
      </w:r>
      <w:r w:rsidRPr="00612F79">
        <w:rPr>
          <w:rFonts w:ascii="Arial" w:eastAsia="Times New Roman" w:hAnsi="Arial" w:cs="Arial"/>
          <w:vertAlign w:val="superscript"/>
          <w:lang w:eastAsia="pt-BR"/>
        </w:rPr>
        <w:t>2</w:t>
      </w:r>
      <w:r w:rsidRPr="00612F79">
        <w:rPr>
          <w:rFonts w:ascii="Arial" w:eastAsia="Times New Roman" w:hAnsi="Arial" w:cs="Arial"/>
          <w:lang w:eastAsia="pt-BR"/>
        </w:rPr>
        <w:t> ou parte dela a ser periciada, a dinâmica de mobilização do perito na região, além da qualificação acadêmica e profissional do especialista;</w:t>
      </w:r>
    </w:p>
    <w:p w14:paraId="5C886AAD"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78714FF4"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3 – Considerando que na Resolução nº 1002/2002 do CONFEA – Conselho Federal de Engenharia, Arquitetura e Agronomia, estão contidos os preceitos do Código de Ética Profissional; atribuições que lhes são conferidas pela alínea “f” do artigo 27 da Lei nº 5.194/1966.</w:t>
      </w:r>
    </w:p>
    <w:p w14:paraId="2E152D11"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7D6EAE87"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E, de conformidade com o IBAPE (Instituto Brasileiro de Avaliação e Perícias de Engenharia - PB), nos seus artigos 05, 12, 13, 14, 17 e 19 da Tabela de Honorários, </w:t>
      </w:r>
      <w:proofErr w:type="spellStart"/>
      <w:r w:rsidRPr="00612F79">
        <w:rPr>
          <w:rFonts w:ascii="Arial" w:eastAsia="Times New Roman" w:hAnsi="Arial" w:cs="Arial"/>
          <w:b/>
          <w:bCs/>
          <w:i/>
          <w:iCs/>
          <w:lang w:eastAsia="pt-BR"/>
        </w:rPr>
        <w:t>fulcradas</w:t>
      </w:r>
      <w:proofErr w:type="spellEnd"/>
      <w:r w:rsidRPr="00612F79">
        <w:rPr>
          <w:rFonts w:ascii="Arial" w:eastAsia="Times New Roman" w:hAnsi="Arial" w:cs="Arial"/>
          <w:lang w:eastAsia="pt-BR"/>
        </w:rPr>
        <w:t> na mesma lei Federal n°5.194, de 24/12/1966. Assim:</w:t>
      </w:r>
    </w:p>
    <w:p w14:paraId="1A2A6A94"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68477B37"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art. 05 – Na fixação dos honorários profissionais de Engenharia de Avaliação e Perícia deverão ser considerados, entre outros, os seguintes aspectos:      </w:t>
      </w:r>
    </w:p>
    <w:p w14:paraId="194EE9D0" w14:textId="77777777" w:rsidR="00612F79" w:rsidRPr="00612F79" w:rsidRDefault="00612F79" w:rsidP="00612F79">
      <w:pPr>
        <w:spacing w:after="0" w:line="240" w:lineRule="auto"/>
        <w:ind w:firstLine="120"/>
        <w:jc w:val="both"/>
        <w:rPr>
          <w:rFonts w:ascii="Arial" w:eastAsia="Times New Roman" w:hAnsi="Arial" w:cs="Arial"/>
          <w:lang w:eastAsia="pt-BR"/>
        </w:rPr>
      </w:pPr>
      <w:r w:rsidRPr="00612F79">
        <w:rPr>
          <w:rFonts w:ascii="Arial" w:eastAsia="Times New Roman" w:hAnsi="Arial" w:cs="Arial"/>
          <w:lang w:eastAsia="pt-BR"/>
        </w:rPr>
        <w:t>a. Relevância, complexidade e vulto dos serviços;</w:t>
      </w:r>
    </w:p>
    <w:p w14:paraId="036C9B92" w14:textId="77777777" w:rsidR="00612F79" w:rsidRPr="00612F79" w:rsidRDefault="00612F79" w:rsidP="00612F79">
      <w:pPr>
        <w:spacing w:after="0" w:line="240" w:lineRule="auto"/>
        <w:ind w:firstLine="120"/>
        <w:jc w:val="both"/>
        <w:rPr>
          <w:rFonts w:ascii="Arial" w:eastAsia="Times New Roman" w:hAnsi="Arial" w:cs="Arial"/>
          <w:lang w:eastAsia="pt-BR"/>
        </w:rPr>
      </w:pPr>
      <w:r w:rsidRPr="00612F79">
        <w:rPr>
          <w:rFonts w:ascii="Arial" w:eastAsia="Times New Roman" w:hAnsi="Arial" w:cs="Arial"/>
          <w:lang w:eastAsia="pt-BR"/>
        </w:rPr>
        <w:t>b. Responsabilidade inerente ao desempenho da função;</w:t>
      </w:r>
    </w:p>
    <w:p w14:paraId="7898DCB1" w14:textId="77777777" w:rsidR="00612F79" w:rsidRPr="00612F79" w:rsidRDefault="00612F79" w:rsidP="00612F79">
      <w:pPr>
        <w:spacing w:after="0" w:line="240" w:lineRule="auto"/>
        <w:ind w:firstLine="120"/>
        <w:jc w:val="both"/>
        <w:rPr>
          <w:rFonts w:ascii="Arial" w:eastAsia="Times New Roman" w:hAnsi="Arial" w:cs="Arial"/>
          <w:lang w:eastAsia="pt-BR"/>
        </w:rPr>
      </w:pPr>
      <w:r w:rsidRPr="00612F79">
        <w:rPr>
          <w:rFonts w:ascii="Arial" w:eastAsia="Times New Roman" w:hAnsi="Arial" w:cs="Arial"/>
          <w:lang w:eastAsia="pt-BR"/>
        </w:rPr>
        <w:t>c. Competência e renome do profissional;</w:t>
      </w:r>
    </w:p>
    <w:p w14:paraId="1B577C65" w14:textId="77777777" w:rsidR="00612F79" w:rsidRPr="00612F79" w:rsidRDefault="00612F79" w:rsidP="00612F79">
      <w:pPr>
        <w:spacing w:after="0" w:line="240" w:lineRule="auto"/>
        <w:ind w:firstLine="120"/>
        <w:jc w:val="both"/>
        <w:rPr>
          <w:rFonts w:ascii="Arial" w:eastAsia="Times New Roman" w:hAnsi="Arial" w:cs="Arial"/>
          <w:lang w:eastAsia="pt-BR"/>
        </w:rPr>
      </w:pPr>
      <w:r w:rsidRPr="00612F79">
        <w:rPr>
          <w:rFonts w:ascii="Arial" w:eastAsia="Times New Roman" w:hAnsi="Arial" w:cs="Arial"/>
          <w:lang w:eastAsia="pt-BR"/>
        </w:rPr>
        <w:t>d. Prazo da entrega e tempo necessário à execução;</w:t>
      </w:r>
    </w:p>
    <w:p w14:paraId="064BFF8B" w14:textId="77777777" w:rsidR="00612F79" w:rsidRPr="00612F79" w:rsidRDefault="00612F79" w:rsidP="00612F79">
      <w:pPr>
        <w:spacing w:after="0" w:line="240" w:lineRule="auto"/>
        <w:ind w:firstLine="120"/>
        <w:jc w:val="both"/>
        <w:rPr>
          <w:rFonts w:ascii="Arial" w:eastAsia="Times New Roman" w:hAnsi="Arial" w:cs="Arial"/>
          <w:lang w:eastAsia="pt-BR"/>
        </w:rPr>
      </w:pPr>
      <w:r w:rsidRPr="00612F79">
        <w:rPr>
          <w:rFonts w:ascii="Arial" w:eastAsia="Times New Roman" w:hAnsi="Arial" w:cs="Arial"/>
          <w:lang w:eastAsia="pt-BR"/>
        </w:rPr>
        <w:t>e. Valor do bem periciado ou avaliado.</w:t>
      </w:r>
    </w:p>
    <w:p w14:paraId="2C972A99"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3E4A04C7"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38A60DED"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xml:space="preserve">art.12 – “De um modo geral, todos os trabalhos de engenharia, de avaliações e de perícias poderão ter seus honorários correspondentes fixados em função do tempo gasto para execução e apresentação do </w:t>
      </w:r>
      <w:proofErr w:type="gramStart"/>
      <w:r w:rsidRPr="00612F79">
        <w:rPr>
          <w:rFonts w:ascii="Arial" w:eastAsia="Times New Roman" w:hAnsi="Arial" w:cs="Arial"/>
          <w:lang w:eastAsia="pt-BR"/>
        </w:rPr>
        <w:t>t</w:t>
      </w:r>
      <w:bookmarkStart w:id="0" w:name="_GoBack"/>
      <w:bookmarkEnd w:id="0"/>
      <w:r w:rsidRPr="00612F79">
        <w:rPr>
          <w:rFonts w:ascii="Arial" w:eastAsia="Times New Roman" w:hAnsi="Arial" w:cs="Arial"/>
          <w:lang w:eastAsia="pt-BR"/>
        </w:rPr>
        <w:t>rabalho.”</w:t>
      </w:r>
      <w:proofErr w:type="gramEnd"/>
    </w:p>
    <w:p w14:paraId="55710973"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6C845E23"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xml:space="preserve">art.13 – “A remuneração deverá ser calculada com base em um custo R$ 100,00 (cem </w:t>
      </w:r>
      <w:proofErr w:type="gramStart"/>
      <w:r w:rsidRPr="00612F79">
        <w:rPr>
          <w:rFonts w:ascii="Arial" w:eastAsia="Times New Roman" w:hAnsi="Arial" w:cs="Arial"/>
          <w:lang w:eastAsia="pt-BR"/>
        </w:rPr>
        <w:t>reais)*</w:t>
      </w:r>
      <w:proofErr w:type="gramEnd"/>
      <w:r w:rsidRPr="00612F79">
        <w:rPr>
          <w:rFonts w:ascii="Arial" w:eastAsia="Times New Roman" w:hAnsi="Arial" w:cs="Arial"/>
          <w:lang w:eastAsia="pt-BR"/>
        </w:rPr>
        <w:t xml:space="preserve"> por hora, compreendendo todo o tempo efetivamente despendido para a realização de vistorias, buscas, estudos, cálculos e demais atividades técnicas necessárias ao desempenho de suas funções, acrescido do tempo gasto em viagens e deslocamentos, desde a saída do domicílio ou do escritório do profissional até o retorno ao mesmo e, excluídos os intervalos para as refeições e repouso”.</w:t>
      </w:r>
    </w:p>
    <w:p w14:paraId="2D1C4AFE"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w:t>
      </w:r>
      <w:r w:rsidRPr="00612F79">
        <w:rPr>
          <w:rFonts w:ascii="Arial" w:eastAsia="Times New Roman" w:hAnsi="Arial" w:cs="Arial"/>
          <w:b/>
          <w:bCs/>
          <w:i/>
          <w:iCs/>
          <w:lang w:eastAsia="pt-BR"/>
        </w:rPr>
        <w:t>valor editado em 25/05/2005, será atualizado pela média atual de SP, SC, RJ e BA</w:t>
      </w:r>
    </w:p>
    <w:p w14:paraId="3175C9DE"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0ECE0A17"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art. 14 – As vistorias, perícias, pareceres e avaliações, em que </w:t>
      </w:r>
      <w:r w:rsidRPr="00612F79">
        <w:rPr>
          <w:rFonts w:ascii="Arial" w:eastAsia="Times New Roman" w:hAnsi="Arial" w:cs="Arial"/>
          <w:b/>
          <w:bCs/>
          <w:i/>
          <w:iCs/>
          <w:lang w:eastAsia="pt-BR"/>
        </w:rPr>
        <w:t>a complexidade do serviço justifique conhecimentos técnicos especializados</w:t>
      </w:r>
      <w:r w:rsidRPr="00612F79">
        <w:rPr>
          <w:rFonts w:ascii="Arial" w:eastAsia="Times New Roman" w:hAnsi="Arial" w:cs="Arial"/>
          <w:lang w:eastAsia="pt-BR"/>
        </w:rPr>
        <w:t>, os profissionais serão remunerados nas mesmas bases mencionadas no artigo anterior, </w:t>
      </w:r>
      <w:r w:rsidRPr="00612F79">
        <w:rPr>
          <w:rFonts w:ascii="Arial" w:eastAsia="Times New Roman" w:hAnsi="Arial" w:cs="Arial"/>
          <w:b/>
          <w:bCs/>
          <w:lang w:eastAsia="pt-BR"/>
        </w:rPr>
        <w:t>acrescido de 100%.</w:t>
      </w:r>
      <w:r w:rsidRPr="00612F79">
        <w:rPr>
          <w:rFonts w:ascii="Arial" w:eastAsia="Times New Roman" w:hAnsi="Arial" w:cs="Arial"/>
          <w:lang w:eastAsia="pt-BR"/>
        </w:rPr>
        <w:t> </w:t>
      </w:r>
      <w:r w:rsidRPr="00612F79">
        <w:rPr>
          <w:rFonts w:ascii="Arial" w:eastAsia="Times New Roman" w:hAnsi="Arial" w:cs="Arial"/>
          <w:i/>
          <w:iCs/>
          <w:lang w:eastAsia="pt-BR"/>
        </w:rPr>
        <w:t>Entendendo-se como conhecimentos técnicos especializados, aqueles decorrentes de cursos de pós-graduação ou pelo reconhecimento público do notório saber do profissional;</w:t>
      </w:r>
    </w:p>
    <w:p w14:paraId="1165CFED"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09E67A16"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art. 17 – Algumas despesas efetuadas ao longo do trabalho pericial não estão incluídas nos honorários fixados neste Regulamento, e devem ser a ale somados quando do cálculo dos respectivos valores;</w:t>
      </w:r>
    </w:p>
    <w:p w14:paraId="69E6604D"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460960A9"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art. 19 – As despesas decorrentes da prestação de serviços técnicos realizados por terceiros, que envolvam análises, ensaios, levantamentos, serviços topográficos, confecção de desenhos técnicos, etc. serão cobrados com base na tabela de honorários da respectiva modalidade profissional;</w:t>
      </w:r>
    </w:p>
    <w:p w14:paraId="70CE0271"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 </w:t>
      </w:r>
    </w:p>
    <w:p w14:paraId="2A409B18"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lastRenderedPageBreak/>
        <w:t> </w:t>
      </w:r>
    </w:p>
    <w:p w14:paraId="0B8AACE2" w14:textId="77777777" w:rsidR="00612F79" w:rsidRPr="00612F79" w:rsidRDefault="00612F79" w:rsidP="00612F79">
      <w:pPr>
        <w:spacing w:after="0" w:line="240" w:lineRule="auto"/>
        <w:jc w:val="both"/>
        <w:rPr>
          <w:rFonts w:ascii="Arial" w:eastAsia="Times New Roman" w:hAnsi="Arial" w:cs="Arial"/>
          <w:lang w:eastAsia="pt-BR"/>
        </w:rPr>
      </w:pPr>
      <w:r w:rsidRPr="00612F79">
        <w:rPr>
          <w:rFonts w:ascii="Arial" w:eastAsia="Times New Roman" w:hAnsi="Arial" w:cs="Arial"/>
          <w:lang w:eastAsia="pt-BR"/>
        </w:rPr>
        <w:t>Assim, sob as considerações supra, este perito adotou como base remuneratória dos honorários, uma média dos valores estipulados pelo Instituto Brasileiro de Perícias de Engenharia (IBAPE) de São Paulo, Paraná, Bahia e Rio de Janeiro, atualizados para 2015, de acordo com os seus respectivos regulamentos de honorários para perícias de engenharia.</w:t>
      </w:r>
    </w:p>
    <w:p w14:paraId="62170050" w14:textId="77777777" w:rsidR="00ED2C1D" w:rsidRPr="00612F79" w:rsidRDefault="00ED2C1D">
      <w:pPr>
        <w:rPr>
          <w:rFonts w:ascii="Arial" w:hAnsi="Arial" w:cs="Arial"/>
        </w:rPr>
      </w:pPr>
    </w:p>
    <w:sectPr w:rsidR="00ED2C1D" w:rsidRPr="00612F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F79"/>
    <w:rsid w:val="00612F79"/>
    <w:rsid w:val="007F4AAD"/>
    <w:rsid w:val="008C129B"/>
    <w:rsid w:val="00A94C85"/>
    <w:rsid w:val="00DB50E9"/>
    <w:rsid w:val="00ED2C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1ECB"/>
  <w15:chartTrackingRefBased/>
  <w15:docId w15:val="{EC8AA4F7-0B79-4C4B-B933-8A6BE42A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612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629618">
      <w:bodyDiv w:val="1"/>
      <w:marLeft w:val="0"/>
      <w:marRight w:val="0"/>
      <w:marTop w:val="0"/>
      <w:marBottom w:val="0"/>
      <w:divBdr>
        <w:top w:val="none" w:sz="0" w:space="0" w:color="auto"/>
        <w:left w:val="none" w:sz="0" w:space="0" w:color="auto"/>
        <w:bottom w:val="none" w:sz="0" w:space="0" w:color="auto"/>
        <w:right w:val="none" w:sz="0" w:space="0" w:color="auto"/>
      </w:divBdr>
      <w:divsChild>
        <w:div w:id="2065789031">
          <w:marLeft w:val="567"/>
          <w:marRight w:val="0"/>
          <w:marTop w:val="0"/>
          <w:marBottom w:val="0"/>
          <w:divBdr>
            <w:top w:val="none" w:sz="0" w:space="0" w:color="auto"/>
            <w:left w:val="none" w:sz="0" w:space="0" w:color="auto"/>
            <w:bottom w:val="none" w:sz="0" w:space="0" w:color="auto"/>
            <w:right w:val="none" w:sz="0" w:space="0" w:color="auto"/>
          </w:divBdr>
        </w:div>
        <w:div w:id="976376534">
          <w:marLeft w:val="480"/>
          <w:marRight w:val="0"/>
          <w:marTop w:val="0"/>
          <w:marBottom w:val="0"/>
          <w:divBdr>
            <w:top w:val="none" w:sz="0" w:space="0" w:color="auto"/>
            <w:left w:val="none" w:sz="0" w:space="0" w:color="auto"/>
            <w:bottom w:val="none" w:sz="0" w:space="0" w:color="auto"/>
            <w:right w:val="none" w:sz="0" w:space="0" w:color="auto"/>
          </w:divBdr>
        </w:div>
        <w:div w:id="2089616642">
          <w:marLeft w:val="360"/>
          <w:marRight w:val="0"/>
          <w:marTop w:val="0"/>
          <w:marBottom w:val="0"/>
          <w:divBdr>
            <w:top w:val="none" w:sz="0" w:space="0" w:color="auto"/>
            <w:left w:val="none" w:sz="0" w:space="0" w:color="auto"/>
            <w:bottom w:val="none" w:sz="0" w:space="0" w:color="auto"/>
            <w:right w:val="none" w:sz="0" w:space="0" w:color="auto"/>
          </w:divBdr>
        </w:div>
        <w:div w:id="558902734">
          <w:marLeft w:val="360"/>
          <w:marRight w:val="0"/>
          <w:marTop w:val="0"/>
          <w:marBottom w:val="0"/>
          <w:divBdr>
            <w:top w:val="none" w:sz="0" w:space="0" w:color="auto"/>
            <w:left w:val="none" w:sz="0" w:space="0" w:color="auto"/>
            <w:bottom w:val="none" w:sz="0" w:space="0" w:color="auto"/>
            <w:right w:val="none" w:sz="0" w:space="0" w:color="auto"/>
          </w:divBdr>
        </w:div>
        <w:div w:id="1265648046">
          <w:marLeft w:val="360"/>
          <w:marRight w:val="0"/>
          <w:marTop w:val="0"/>
          <w:marBottom w:val="0"/>
          <w:divBdr>
            <w:top w:val="none" w:sz="0" w:space="0" w:color="auto"/>
            <w:left w:val="none" w:sz="0" w:space="0" w:color="auto"/>
            <w:bottom w:val="none" w:sz="0" w:space="0" w:color="auto"/>
            <w:right w:val="none" w:sz="0" w:space="0" w:color="auto"/>
          </w:divBdr>
        </w:div>
        <w:div w:id="1065644646">
          <w:marLeft w:val="360"/>
          <w:marRight w:val="0"/>
          <w:marTop w:val="0"/>
          <w:marBottom w:val="0"/>
          <w:divBdr>
            <w:top w:val="none" w:sz="0" w:space="0" w:color="auto"/>
            <w:left w:val="none" w:sz="0" w:space="0" w:color="auto"/>
            <w:bottom w:val="none" w:sz="0" w:space="0" w:color="auto"/>
            <w:right w:val="none" w:sz="0" w:space="0" w:color="auto"/>
          </w:divBdr>
        </w:div>
        <w:div w:id="1589269149">
          <w:marLeft w:val="360"/>
          <w:marRight w:val="0"/>
          <w:marTop w:val="0"/>
          <w:marBottom w:val="0"/>
          <w:divBdr>
            <w:top w:val="none" w:sz="0" w:space="0" w:color="auto"/>
            <w:left w:val="none" w:sz="0" w:space="0" w:color="auto"/>
            <w:bottom w:val="none" w:sz="0" w:space="0" w:color="auto"/>
            <w:right w:val="none" w:sz="0" w:space="0" w:color="auto"/>
          </w:divBdr>
        </w:div>
        <w:div w:id="1654918079">
          <w:marLeft w:val="480"/>
          <w:marRight w:val="0"/>
          <w:marTop w:val="0"/>
          <w:marBottom w:val="0"/>
          <w:divBdr>
            <w:top w:val="none" w:sz="0" w:space="0" w:color="auto"/>
            <w:left w:val="none" w:sz="0" w:space="0" w:color="auto"/>
            <w:bottom w:val="none" w:sz="0" w:space="0" w:color="auto"/>
            <w:right w:val="none" w:sz="0" w:space="0" w:color="auto"/>
          </w:divBdr>
        </w:div>
        <w:div w:id="754400320">
          <w:marLeft w:val="480"/>
          <w:marRight w:val="0"/>
          <w:marTop w:val="0"/>
          <w:marBottom w:val="0"/>
          <w:divBdr>
            <w:top w:val="none" w:sz="0" w:space="0" w:color="auto"/>
            <w:left w:val="none" w:sz="0" w:space="0" w:color="auto"/>
            <w:bottom w:val="none" w:sz="0" w:space="0" w:color="auto"/>
            <w:right w:val="none" w:sz="0" w:space="0" w:color="auto"/>
          </w:divBdr>
        </w:div>
        <w:div w:id="1851947579">
          <w:marLeft w:val="480"/>
          <w:marRight w:val="0"/>
          <w:marTop w:val="0"/>
          <w:marBottom w:val="0"/>
          <w:divBdr>
            <w:top w:val="none" w:sz="0" w:space="0" w:color="auto"/>
            <w:left w:val="none" w:sz="0" w:space="0" w:color="auto"/>
            <w:bottom w:val="none" w:sz="0" w:space="0" w:color="auto"/>
            <w:right w:val="none" w:sz="0" w:space="0" w:color="auto"/>
          </w:divBdr>
        </w:div>
        <w:div w:id="1521049969">
          <w:marLeft w:val="480"/>
          <w:marRight w:val="0"/>
          <w:marTop w:val="0"/>
          <w:marBottom w:val="0"/>
          <w:divBdr>
            <w:top w:val="none" w:sz="0" w:space="0" w:color="auto"/>
            <w:left w:val="none" w:sz="0" w:space="0" w:color="auto"/>
            <w:bottom w:val="none" w:sz="0" w:space="0" w:color="auto"/>
            <w:right w:val="none" w:sz="0" w:space="0" w:color="auto"/>
          </w:divBdr>
        </w:div>
        <w:div w:id="1169369314">
          <w:marLeft w:val="480"/>
          <w:marRight w:val="0"/>
          <w:marTop w:val="0"/>
          <w:marBottom w:val="0"/>
          <w:divBdr>
            <w:top w:val="none" w:sz="0" w:space="0" w:color="auto"/>
            <w:left w:val="none" w:sz="0" w:space="0" w:color="auto"/>
            <w:bottom w:val="none" w:sz="0" w:space="0" w:color="auto"/>
            <w:right w:val="none" w:sz="0" w:space="0" w:color="auto"/>
          </w:divBdr>
        </w:div>
        <w:div w:id="173347038">
          <w:marLeft w:val="1770"/>
          <w:marRight w:val="0"/>
          <w:marTop w:val="0"/>
          <w:marBottom w:val="0"/>
          <w:divBdr>
            <w:top w:val="none" w:sz="0" w:space="0" w:color="auto"/>
            <w:left w:val="none" w:sz="0" w:space="0" w:color="auto"/>
            <w:bottom w:val="none" w:sz="0" w:space="0" w:color="auto"/>
            <w:right w:val="none" w:sz="0" w:space="0" w:color="auto"/>
          </w:divBdr>
        </w:div>
        <w:div w:id="875433626">
          <w:marLeft w:val="480"/>
          <w:marRight w:val="0"/>
          <w:marTop w:val="0"/>
          <w:marBottom w:val="0"/>
          <w:divBdr>
            <w:top w:val="none" w:sz="0" w:space="0" w:color="auto"/>
            <w:left w:val="none" w:sz="0" w:space="0" w:color="auto"/>
            <w:bottom w:val="none" w:sz="0" w:space="0" w:color="auto"/>
            <w:right w:val="none" w:sz="0" w:space="0" w:color="auto"/>
          </w:divBdr>
        </w:div>
        <w:div w:id="735250645">
          <w:marLeft w:val="480"/>
          <w:marRight w:val="0"/>
          <w:marTop w:val="0"/>
          <w:marBottom w:val="0"/>
          <w:divBdr>
            <w:top w:val="none" w:sz="0" w:space="0" w:color="auto"/>
            <w:left w:val="none" w:sz="0" w:space="0" w:color="auto"/>
            <w:bottom w:val="none" w:sz="0" w:space="0" w:color="auto"/>
            <w:right w:val="none" w:sz="0" w:space="0" w:color="auto"/>
          </w:divBdr>
        </w:div>
        <w:div w:id="1779520077">
          <w:marLeft w:val="480"/>
          <w:marRight w:val="0"/>
          <w:marTop w:val="0"/>
          <w:marBottom w:val="0"/>
          <w:divBdr>
            <w:top w:val="none" w:sz="0" w:space="0" w:color="auto"/>
            <w:left w:val="none" w:sz="0" w:space="0" w:color="auto"/>
            <w:bottom w:val="none" w:sz="0" w:space="0" w:color="auto"/>
            <w:right w:val="none" w:sz="0" w:space="0" w:color="auto"/>
          </w:divBdr>
        </w:div>
        <w:div w:id="86273775">
          <w:marLeft w:val="480"/>
          <w:marRight w:val="0"/>
          <w:marTop w:val="0"/>
          <w:marBottom w:val="0"/>
          <w:divBdr>
            <w:top w:val="none" w:sz="0" w:space="0" w:color="auto"/>
            <w:left w:val="none" w:sz="0" w:space="0" w:color="auto"/>
            <w:bottom w:val="none" w:sz="0" w:space="0" w:color="auto"/>
            <w:right w:val="none" w:sz="0" w:space="0" w:color="auto"/>
          </w:divBdr>
        </w:div>
        <w:div w:id="1842429644">
          <w:marLeft w:val="480"/>
          <w:marRight w:val="0"/>
          <w:marTop w:val="0"/>
          <w:marBottom w:val="0"/>
          <w:divBdr>
            <w:top w:val="none" w:sz="0" w:space="0" w:color="auto"/>
            <w:left w:val="none" w:sz="0" w:space="0" w:color="auto"/>
            <w:bottom w:val="none" w:sz="0" w:space="0" w:color="auto"/>
            <w:right w:val="none" w:sz="0" w:space="0" w:color="auto"/>
          </w:divBdr>
        </w:div>
        <w:div w:id="899362883">
          <w:marLeft w:val="480"/>
          <w:marRight w:val="0"/>
          <w:marTop w:val="0"/>
          <w:marBottom w:val="0"/>
          <w:divBdr>
            <w:top w:val="none" w:sz="0" w:space="0" w:color="auto"/>
            <w:left w:val="none" w:sz="0" w:space="0" w:color="auto"/>
            <w:bottom w:val="none" w:sz="0" w:space="0" w:color="auto"/>
            <w:right w:val="none" w:sz="0" w:space="0" w:color="auto"/>
          </w:divBdr>
        </w:div>
        <w:div w:id="342434595">
          <w:marLeft w:val="480"/>
          <w:marRight w:val="0"/>
          <w:marTop w:val="0"/>
          <w:marBottom w:val="0"/>
          <w:divBdr>
            <w:top w:val="none" w:sz="0" w:space="0" w:color="auto"/>
            <w:left w:val="none" w:sz="0" w:space="0" w:color="auto"/>
            <w:bottom w:val="none" w:sz="0" w:space="0" w:color="auto"/>
            <w:right w:val="none" w:sz="0" w:space="0" w:color="auto"/>
          </w:divBdr>
        </w:div>
        <w:div w:id="429546654">
          <w:marLeft w:val="709"/>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521</Words>
  <Characters>2817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 Barros</dc:creator>
  <cp:keywords/>
  <dc:description/>
  <cp:lastModifiedBy>Erison Barros</cp:lastModifiedBy>
  <cp:revision>1</cp:revision>
  <dcterms:created xsi:type="dcterms:W3CDTF">2016-04-30T01:00:00Z</dcterms:created>
  <dcterms:modified xsi:type="dcterms:W3CDTF">2016-04-30T01:02:00Z</dcterms:modified>
</cp:coreProperties>
</file>