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</w:pPr>
      <w:r>
        <w:t xml:space="preserve">IA: ## PROPOSTA COMERCIAL DE PRESTAÇÃO DE SERVIÇOS</w:t>
      </w:r>
    </w:p>
    <w:p>
      <w:pPr>
        <w:spacing w:before="60" w:after="120" w:line="276"/>
      </w:pPr>
      <w:r>
        <w:rPr>
          <w:b/>
          <w:bCs/>
        </w:rPr>
        <w:t xml:space="preserve">Regularização Fundiária — Levantamento Topográfico Georreferenciado e Levantamento Arquitetônico (As-Built)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Apresentação</w:t>
      </w:r>
    </w:p>
    <w:p>
      <w:pPr>
        <w:spacing w:before="60" w:after="120" w:line="276"/>
      </w:pPr>
      <w:r>
        <w:t xml:space="preserve">A presente proposta tem por objeto a prestação de serviços técnicos especializados em </w:t>
      </w:r>
      <w:r>
        <w:rPr>
          <w:b/>
          <w:bCs/>
        </w:rPr>
        <w:t xml:space="preserve">levantamento cadastral territorial georreferenciado</w:t>
      </w:r>
      <w:r>
        <w:t xml:space="preserve"> e </w:t>
      </w:r>
      <w:r>
        <w:rPr>
          <w:b/>
          <w:bCs/>
        </w:rPr>
        <w:t xml:space="preserve">levantamento arquitetônico (as-built)</w:t>
      </w:r>
      <w:r>
        <w:t xml:space="preserve"> de duas residências situadas em um terreno de aproximadamente </w:t>
      </w:r>
      <w:r>
        <w:rPr>
          <w:b/>
          <w:bCs/>
        </w:rPr>
        <w:t xml:space="preserve">3.900,00 m²</w:t>
      </w:r>
      <w:r>
        <w:t xml:space="preserve">, com vistas ao processo de </w:t>
      </w:r>
      <w:r>
        <w:rPr>
          <w:b/>
          <w:bCs/>
        </w:rPr>
        <w:t xml:space="preserve">regularização fundiária</w:t>
      </w:r>
      <w:r>
        <w:t xml:space="preserve">.</w:t>
      </w:r>
    </w:p>
    <w:p>
      <w:pPr>
        <w:spacing w:before="60" w:after="120" w:line="276"/>
      </w:pPr>
      <w:r>
        <w:t xml:space="preserve">Os serviços aqui descritos foram dimensionados com base nas dimensões informadas e nas exigências técnicas dos órgãos competentes — cartórios de registro de imóveis, prefeituras municipais e, quando aplicável, o INCRA —, garantindo que os produtos entregues atendam aos padrões de precisão necessários para a tramitação e o deferimento do processo de regularização.</w:t>
      </w:r>
    </w:p>
    <w:p>
      <w:pPr>
        <w:spacing w:before="60" w:after="120" w:line="276"/>
      </w:pPr>
      <w:r>
        <w:t xml:space="preserve">A execução conjunta das duas etapas em um mesmo local permite </w:t>
      </w:r>
      <w:r>
        <w:rPr>
          <w:b/>
          <w:bCs/>
        </w:rPr>
        <w:t xml:space="preserve">otimização logística</w:t>
      </w:r>
      <w:r>
        <w:t xml:space="preserve">, reduzindo custos de mobilização e prazo total de entrega, benefício que se reflete na condição comercial apresentada ao final deste documento.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Escopo dos Serviços</w:t>
      </w:r>
    </w:p>
    <w:p>
      <w:pPr>
        <w:pStyle w:val="Heading3"/>
        <w:spacing w:before="240" w:after="120"/>
      </w:pPr>
      <w:r>
        <w:t xml:space="preserve">1. Levantamento Topográfico Cadastral Georreferenciado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Área de abrangência:</w:t>
      </w:r>
      <w:r>
        <w:t xml:space="preserve"> Terreno de aproximadamente </w:t>
      </w:r>
      <w:r>
        <w:rPr>
          <w:b/>
          <w:bCs/>
        </w:rPr>
        <w:t xml:space="preserve">3.900,00 m²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Locação e identificação</w:t>
      </w:r>
      <w:r>
        <w:t xml:space="preserve"> dos limites do imóvel com base em documentos apresentados pelo cliente (matrícula, escritura ou planta anterior)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Levantamento planimétrico</w:t>
      </w:r>
      <w:r>
        <w:t xml:space="preserve"> dos elementos físicos do terreno: confrontantes, cercas, muros, edificações existentes, acesso, vegetação relevante e acidentes topográficos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Levantamento altimétrico</w:t>
      </w:r>
      <w:r>
        <w:t xml:space="preserve"> com representação de cotas e, quando aplicável, curvas de nível, para caracterização do relevo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Materialização dos vértices</w:t>
      </w:r>
      <w:r>
        <w:t xml:space="preserve"> dos limites do imóvel com marcos físicos, quando necessário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Determinação de coordenadas georreferenciadas</w:t>
      </w:r>
      <w:r>
        <w:t xml:space="preserve"> utilizando receptores GNSS de dupla frequência com posicionamento diferencial (RTK/estático), amarrados aos marcos de apoio do IBGE e à Rede Brasileira de Monitoramento Contínuo (RBMC)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Cálculo de área e perímetro</w:t>
      </w:r>
      <w:r>
        <w:t xml:space="preserve"> com base nas coordenadas determinadas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Elaboração de memorial descritivo</w:t>
      </w:r>
      <w:r>
        <w:t xml:space="preserve"> contendo a descrição dos limites, confrontantes, área calculada e coordenadas dos vértices</w:t>
      </w:r>
    </w:p>
    <w:p>
      <w:pPr>
        <w:spacing w:before="60" w:after="120" w:line="276"/>
      </w:pPr>
      <w:r>
        <w:rPr>
          <w:b/>
          <w:bCs/>
        </w:rPr>
        <w:t xml:space="preserve">Referências normativas:</w:t>
      </w:r>
      <w:r>
        <w:t xml:space="preserve"> Lei nº 10.267/2001 (georreferenciamento de imóveis rurais), Decreto nº 4.449/2002, Norma de Padronização do INCRA (3ª Edição), NBR 14645-1 e NBR 14645-2 (levantamento topográfico), e legislação municipal aplicável à regularização fundiária urbana (Lei nº 13.465/2017 — REURB).</w:t>
      </w:r>
    </w:p>
    <w:p>
      <w:pPr>
        <w:pStyle w:val="Heading3"/>
        <w:spacing w:before="240" w:after="120"/>
      </w:pPr>
      <w:r>
        <w:t xml:space="preserve">2. Levantamento Arquitetônico (As-Built)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Área de abrangência:</w:t>
      </w:r>
      <w:r>
        <w:t xml:space="preserve"> Duas residências com </w:t>
      </w:r>
      <w:r>
        <w:rPr>
          <w:b/>
          <w:bCs/>
        </w:rPr>
        <w:t xml:space="preserve">345,00 m²</w:t>
      </w:r>
      <w:r>
        <w:t xml:space="preserve"> de área útil total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Medição in loco</w:t>
      </w:r>
      <w:r>
        <w:t xml:space="preserve"> de todas as compartimentos internos, circulações, áreas de serviço e dependências externas das edificações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Levantamento de elementos arquitetônicos:</w:t>
      </w:r>
      <w:r>
        <w:t xml:space="preserve"> portas, janelas, vãos, pé-direito, escadas, patamares, mezaninos e demais elementos construtivos relevantes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Registro da situação atual das edificações</w:t>
      </w:r>
      <w:r>
        <w:t xml:space="preserve"> (estado de conservação aparente, acréscimos, modificações e intervenções identificáveis)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Levantamento da cobertura</w:t>
      </w:r>
      <w:r>
        <w:t xml:space="preserve"> para elaboração das plantas de situação e locação na coberta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Amarração das edificações aos limites do terreno</w:t>
      </w:r>
      <w:r>
        <w:t xml:space="preserve"> para fins de conformidade com recuos e parâmetros urbanísticos</w:t>
      </w:r>
    </w:p>
    <w:p>
      <w:pPr>
        <w:spacing w:before="60" w:after="120" w:line="276"/>
      </w:pPr>
      <w:r>
        <w:rPr>
          <w:b/>
          <w:bCs/>
        </w:rPr>
        <w:t xml:space="preserve">Referências normativas:</w:t>
      </w:r>
      <w:r>
        <w:t xml:space="preserve"> NBR 10647 (desenho técnico), NBR 10068 (folhas de desenho), NBR 8196 (escalas), NBR 10570 (execução de levantamentos de edificações) e legislação urbanística municipal aplicável.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Entregáveis</w:t>
      </w:r>
    </w:p>
    <w:p>
      <w:pPr>
        <w:pStyle w:val="Heading3"/>
        <w:spacing w:before="240" w:after="120"/>
      </w:pPr>
      <w:r>
        <w:t xml:space="preserve">Levantamento Topográfico Georreferenciado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Planta topográfica cadastral georreferenciada</w:t>
      </w:r>
      <w:r>
        <w:t xml:space="preserve"> em escala adequada (1:250 a 1:500), contendo limites, confrontantes, área calculada, cotas altimétricas, edificações e elementos físicos relevantes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Memorial descritivo</w:t>
      </w:r>
      <w:r>
        <w:t xml:space="preserve"> com coordenadas georreferenciadas dos vértices, descrição de confrontantes, azimutes, distâncias e área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Arquivo digital em formato CAD (.DWG)</w:t>
      </w:r>
      <w:r>
        <w:t xml:space="preserve"> com todas as entidades georreferenciadas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Relatório técnico</w:t>
      </w:r>
      <w:r>
        <w:t xml:space="preserve"> contendo metodologia, equipamentos utilizados, precisão alcançada e memorial de cálculo</w:t>
      </w:r>
    </w:p>
    <w:p>
      <w:pPr>
        <w:pStyle w:val="Heading3"/>
        <w:spacing w:before="240" w:after="120"/>
      </w:pPr>
      <w:r>
        <w:t xml:space="preserve">Levantamento Arquitetônico (As-Built)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Plantas baixas</w:t>
      </w:r>
      <w:r>
        <w:t xml:space="preserve"> de cada pavimento das duas residências, em escala 1:50 ou 1:100, com cotas e indicação de usos, portas e janelas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Cortes longitudinais e transversais</w:t>
      </w:r>
      <w:r>
        <w:t xml:space="preserve"> representando pé-direito, níveis de piso e elementos estruturais aparentes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Fachadas</w:t>
      </w:r>
      <w:r>
        <w:t xml:space="preserve"> (elevações) de todas as faces externas das edificações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Planta de situação</w:t>
      </w:r>
      <w:r>
        <w:t xml:space="preserve"> com a localização das edificações no terreno, recuos e amarração aos limites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Planta de locação na coberta</w:t>
      </w:r>
      <w:r>
        <w:t xml:space="preserve"> indicando a disposição das edificações vistas de topo, com cotas de afastamento dos limites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Arquivo digital em formato CAD (.DWG)</w:t>
      </w:r>
      <w:r>
        <w:t xml:space="preserve"> com todas as pranchas organizadas conforme NBR 10647</w:t>
      </w:r>
    </w:p>
    <w:p>
      <w:pPr>
        <w:spacing w:before="60" w:after="120" w:line="276"/>
      </w:pPr>
      <w:r>
        <w:t xml:space="preserve">A </w:t>
      </w:r>
      <w:r>
        <w:rPr>
          <w:b/>
          <w:bCs/>
        </w:rPr>
        <w:t xml:space="preserve">precisão técnica</w:t>
      </w:r>
      <w:r>
        <w:t xml:space="preserve"> desses levantamentos é </w:t>
      </w:r>
      <w:r>
        <w:rPr>
          <w:b/>
          <w:bCs/>
        </w:rPr>
        <w:t xml:space="preserve">rigorosamente exigida pelos órgãos competentes</w:t>
      </w:r>
      <w:r>
        <w:t xml:space="preserve"> — cartórios, prefeituras e órgãos de regularização fundiária — para que o processo tenha tramitação válida e seja deferido. Divergências métricas ou falhas na amarração georreferenciada são causas frequentes de </w:t>
      </w:r>
      <w:r>
        <w:rPr>
          <w:b/>
          <w:bCs/>
        </w:rPr>
        <w:t xml:space="preserve">indeferimento</w:t>
      </w:r>
      <w:r>
        <w:t xml:space="preserve"> ou exigência de retrabalho, o que torna a contratação de profissional habilitado um requisito não apenas técnico, mas estratégico para o sucesso do empreendimento.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Cronograma de Execução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Prazo Estimado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Mobilização e análise documental prévia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dias úteis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Trabalho de campo — Levantamento topográfico e arquitetônico (execução simultânea)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 dias úteis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Processamento de dados topográficos e cálculo de coordenadas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dias úteis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Desenho técnico das plantas arquitetônicas (as-built)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 dias úteis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Revisão, conferência técnica e fechamento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dias úteis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Entrega final dos produtos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dia útil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Prazo total estimado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 dias úteis</w:t>
            </w:r>
          </w:p>
        </w:tc>
      </w:tr>
    </w:tbl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cronograma tem início a partir da </w:t>
      </w:r>
      <w:r>
        <w:rPr>
          <w:b/>
          <w:bCs/>
        </w:rPr>
        <w:t xml:space="preserve">assinatura do contrato/aceite da proposta</w:t>
      </w:r>
      <w:r>
        <w:t xml:space="preserve"> e do </w:t>
      </w:r>
      <w:r>
        <w:rPr>
          <w:b/>
          <w:bCs/>
        </w:rPr>
        <w:t xml:space="preserve">recebimento da documentação do imóvel</w:t>
      </w:r>
      <w:r>
        <w:t xml:space="preserve"> (matrícula, escritura ou documento equivalente)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Eventuais intempéries ou fatores alheios ao controle da equipe técnica poderão implicar readequação do prazo, comunicada previamente ao cliente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Investimento</w:t>
      </w:r>
    </w:p>
    <w:p>
      <w:pPr>
        <w:pStyle w:val="Heading3"/>
        <w:spacing w:before="240" w:after="120"/>
      </w:pPr>
      <w:r>
        <w:t xml:space="preserve">Precificação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Quantidade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 Unitário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Levantamento Topográfico Cadastral Georreferenciado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3.900,00 m²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R$ 3.500,00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Levantamento Arquitetônico (As-Built)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345,00 m²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R$ 20,00/m²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R$ 6.900,00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R$ 10.400,00</w:t>
            </w:r>
          </w:p>
        </w:tc>
      </w:tr>
    </w:tbl>
    <w:p>
      <w:pPr>
        <w:pStyle w:val="Heading3"/>
        <w:spacing w:before="240" w:after="120"/>
      </w:pPr>
      <w:r>
        <w:t xml:space="preserve">Condição Especial — Pacote Completo</w:t>
      </w:r>
    </w:p>
    <w:p>
      <w:pPr>
        <w:spacing w:before="60" w:after="120" w:line="276"/>
      </w:pPr>
      <w:r>
        <w:t xml:space="preserve">Pela contratação conjunta dos dois serviços em um único pedido, concede-se um </w:t>
      </w:r>
      <w:r>
        <w:rPr>
          <w:b/>
          <w:bCs/>
        </w:rPr>
        <w:t xml:space="preserve">desconto comercial de 8% (oito por cento)</w:t>
      </w:r>
      <w:r>
        <w:t xml:space="preserve"> sobre o valor subtotal: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5400"/>
        <w:gridCol w:w="54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Subtotal dos serviços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R$ 10.400,00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Desconto de fechamento (8%)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− R$ 832,00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 total com desconto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R$ 9.568,00</w:t>
            </w:r>
          </w:p>
        </w:tc>
      </w:tr>
    </w:tbl>
    <w:p>
      <w:pPr>
        <w:spacing w:before="60" w:after="120" w:line="276"/>
      </w:pPr>
      <w:r>
        <w:t xml:space="preserve">Os valores acima são </w:t>
      </w:r>
      <w:r>
        <w:rPr>
          <w:b/>
          <w:bCs/>
        </w:rPr>
        <w:t xml:space="preserve">compatíveis com a tabela de honorários e práticas de mercado vigentes</w:t>
      </w:r>
      <w:r>
        <w:t xml:space="preserve"> para serviços de engenharia cartográfica e arquitetura na região, considerando as faixas referenciais de </w:t>
      </w:r>
      <w:r>
        <w:rPr>
          <w:b/>
          <w:bCs/>
        </w:rPr>
        <w:t xml:space="preserve">R$ 2.000,00 a R$ 15.000,00</w:t>
      </w:r>
      <w:r>
        <w:t xml:space="preserve"> para levantamentos topográficos georreferenciados em áreas próximas a 4.000 m², e de </w:t>
      </w:r>
      <w:r>
        <w:rPr>
          <w:b/>
          <w:bCs/>
        </w:rPr>
        <w:t xml:space="preserve">R$ 15,00 a R$ 30,00 por m²</w:t>
      </w:r>
      <w:r>
        <w:t xml:space="preserve"> para levantamentos arquitetônicos as-built em habitações unifamiliares.</w:t>
      </w:r>
    </w:p>
    <w:p>
      <w:pPr>
        <w:pStyle w:val="Heading3"/>
        <w:spacing w:before="240" w:after="120"/>
      </w:pPr>
      <w:r>
        <w:t xml:space="preserve">Condições de Pagamento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30%</w:t>
      </w:r>
      <w:r>
        <w:t xml:space="preserve"> (R$ 2.870,40) — No ato da assinatura do contrato/aceite da proposta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40%</w:t>
      </w:r>
      <w:r>
        <w:t xml:space="preserve"> (R$ 3.827,20) — Após a conclusão dos trabalhos de campo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30%</w:t>
      </w:r>
      <w:r>
        <w:t xml:space="preserve"> (R$ 2.870,40) — Na entrega final dos produtos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Forma de pagamento: </w:t>
      </w:r>
      <w:r>
        <w:rPr>
          <w:b/>
          <w:bCs/>
        </w:rPr>
        <w:t xml:space="preserve">boleto bancário ou PIX</w:t>
      </w:r>
      <w:r>
        <w:t xml:space="preserve">, com vencimento em até </w:t>
      </w:r>
      <w:r>
        <w:rPr>
          <w:b/>
          <w:bCs/>
        </w:rPr>
        <w:t xml:space="preserve">3 (três) dias úteis</w:t>
      </w:r>
      <w:r>
        <w:t xml:space="preserve"> após a emissão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 emissão de </w:t>
      </w:r>
      <w:r>
        <w:rPr>
          <w:b/>
          <w:bCs/>
        </w:rPr>
        <w:t xml:space="preserve">nota fiscal de serviços</w:t>
      </w:r>
      <w:r>
        <w:t xml:space="preserve"> está incluída em todas as parcelas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Validade da Proposta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Esta proposta tem </w:t>
      </w:r>
      <w:r>
        <w:rPr>
          <w:b/>
          <w:bCs/>
        </w:rPr>
        <w:t xml:space="preserve">validade de 30 (trinta) dias corridos</w:t>
      </w:r>
      <w:r>
        <w:t xml:space="preserve">, a contar da data de seu envio ao cliente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Os valores aqui apresentados estão vinculados às condições de mercado vigentes nesta data e poderão ser readequados em caso de alteração significativa dos parâmetros informados (área, número de edificações, complexidade do terreno, etc.)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 aceitação desta proposta implica a concordância com o escopo, prazos e condições aqui descritos, sendo posterior formalizada via </w:t>
      </w:r>
      <w:r>
        <w:rPr>
          <w:b/>
          <w:bCs/>
        </w:rPr>
        <w:t xml:space="preserve">contrato de prestação de serviços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Aceite e Assinaturas</w:t>
      </w:r>
    </w:p>
    <w:p>
      <w:pPr>
        <w:spacing w:before="60" w:after="120" w:line="276"/>
      </w:pPr>
      <w:r>
        <w:t xml:space="preserve">Para aceite desta proposta, favor assinar abaixo e devolver uma via digitalizada.</w:t>
      </w:r>
    </w:p>
    <w:p>
      <w:pPr>
        <w:spacing w:before="60" w:after="120" w:line="276"/>
      </w:pPr>
      <w:r>
        <w:rPr>
          <w:b/>
          <w:bCs/>
        </w:rPr>
        <w:t xml:space="preserve">Contratante (Cliente):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t xml:space="preserve">Nome / CPF ou CNPJ</w:t>
      </w:r>
    </w:p>
    <w:p>
      <w:pPr>
        <w:spacing w:before="60" w:after="120" w:line="276"/>
      </w:pPr>
      <w:r>
        <w:t xml:space="preserve">Data: </w:t>
      </w:r>
      <w:r>
        <w:rPr>
          <w:b/>
          <w:bCs/>
          <w:i/>
          <w:iCs/>
        </w:rPr>
        <w:t xml:space="preserve">/</w:t>
      </w:r>
      <w:r>
        <w:t xml:space="preserve">/______</w:t>
      </w:r>
    </w:p>
    <w:p>
      <w:pPr>
        <w:spacing w:before="60" w:after="120" w:line="276"/>
      </w:pPr>
      <w:r>
        <w:rPr>
          <w:b/>
          <w:bCs/>
        </w:rPr>
        <w:t xml:space="preserve">Contratada (Prestador de Serviços):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t xml:space="preserve">Nome / CRT (ART ou RRT)</w:t>
      </w:r>
    </w:p>
    <w:p>
      <w:pPr>
        <w:spacing w:before="60" w:after="120" w:line="276"/>
      </w:pPr>
      <w:r>
        <w:t xml:space="preserve">Data: </w:t>
      </w:r>
      <w:r>
        <w:rPr>
          <w:b/>
          <w:bCs/>
          <w:i/>
          <w:iCs/>
        </w:rPr>
        <w:t xml:space="preserve">/</w:t>
      </w:r>
      <w:r>
        <w:t xml:space="preserve">/______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rPr>
          <w:i/>
          <w:iCs/>
        </w:rPr>
        <w:t xml:space="preserve">Ficamos à disposição para esclarecimentos adicionais e ajustes de escopo que se façam necessários. A contratação de profissional habilitado é fator determinante para o êxito do processo de regularização fundiária, e comprometemo-nos a entregar produtos técnicos com a precisão e a rastreabilidade exigidas pelos órgãos competentes.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2026-07-21T13:43:05.794Z</dcterms:created>
  <dcterms:modified xsi:type="dcterms:W3CDTF">2026-07-21T13:43:05.794Z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