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781B3F">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46976FC4" w:rsidR="002853B7" w:rsidRPr="00781055" w:rsidRDefault="00B65890" w:rsidP="002853B7">
            <w:pPr>
              <w:tabs>
                <w:tab w:val="left" w:pos="1800"/>
              </w:tabs>
              <w:spacing w:line="240" w:lineRule="auto"/>
              <w:jc w:val="both"/>
              <w:rPr>
                <w:color w:val="231F20"/>
                <w:sz w:val="16"/>
                <w:szCs w:val="16"/>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631A063B" w:rsidR="00CA3D0C" w:rsidRDefault="001274AF" w:rsidP="00781055">
            <w:pPr>
              <w:tabs>
                <w:tab w:val="left" w:pos="1800"/>
              </w:tabs>
              <w:spacing w:line="240" w:lineRule="auto"/>
              <w:jc w:val="both"/>
              <w:rPr>
                <w:color w:val="999999"/>
              </w:rPr>
            </w:pPr>
            <w:r w:rsidRPr="00781055">
              <w:rPr>
                <w:color w:val="252525"/>
                <w:sz w:val="16"/>
                <w:szCs w:val="16"/>
                <w:vertAlign w:val="superscript"/>
              </w:rPr>
              <w:t>3</w:t>
            </w:r>
            <w:r w:rsidR="00781055" w:rsidRPr="00781055">
              <w:rPr>
                <w:color w:val="252525"/>
                <w:sz w:val="16"/>
                <w:szCs w:val="16"/>
                <w:vertAlign w:val="superscript"/>
              </w:rPr>
              <w:t xml:space="preserve"> </w:t>
            </w:r>
            <w:hyperlink r:id="rId9"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lastRenderedPageBreak/>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w:t>
            </w:r>
            <w:r>
              <w:rPr>
                <w:color w:val="FFFFFF"/>
                <w:sz w:val="24"/>
                <w:szCs w:val="24"/>
              </w:rPr>
              <w:lastRenderedPageBreak/>
              <w:t>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781B3F" w:rsidP="00270CC0">
            <w:pPr>
              <w:pStyle w:val="ListParagraph"/>
              <w:numPr>
                <w:ilvl w:val="0"/>
                <w:numId w:val="5"/>
              </w:numPr>
              <w:tabs>
                <w:tab w:val="left" w:pos="1800"/>
              </w:tabs>
              <w:spacing w:line="240" w:lineRule="auto"/>
              <w:jc w:val="both"/>
              <w:rPr>
                <w:color w:val="252525"/>
              </w:rPr>
            </w:pPr>
            <w:hyperlink r:id="rId10" w:history="1">
              <w:r w:rsidR="00102019">
                <w:rPr>
                  <w:rStyle w:val="Hyperlink"/>
                </w:rPr>
                <w:t>Cohen, J. P., Morrison, P. &amp; Dao, L. COVID-19 image data collection (2020)</w:t>
              </w:r>
            </w:hyperlink>
          </w:p>
          <w:p w14:paraId="524BA1AD" w14:textId="02E4EE6A" w:rsidR="00270CC0" w:rsidRDefault="00781B3F"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RSNA Pneumonia Detection Challenge - Kaggle</w:t>
              </w:r>
            </w:hyperlink>
          </w:p>
          <w:p w14:paraId="6830B93F" w14:textId="214AB12C" w:rsidR="00102019" w:rsidRDefault="00781B3F"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Chest X-Ray Images (Pneumonia) - Kaggle</w:t>
              </w:r>
            </w:hyperlink>
          </w:p>
          <w:p w14:paraId="4FB6B035" w14:textId="3759EB25" w:rsidR="00102019" w:rsidRDefault="00781B3F"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781B3F" w:rsidP="00683500">
            <w:pPr>
              <w:pStyle w:val="ListParagraph"/>
              <w:numPr>
                <w:ilvl w:val="0"/>
                <w:numId w:val="5"/>
              </w:numPr>
              <w:tabs>
                <w:tab w:val="left" w:pos="1800"/>
              </w:tabs>
              <w:spacing w:line="240" w:lineRule="auto"/>
              <w:jc w:val="both"/>
              <w:rPr>
                <w:color w:val="252525"/>
              </w:rPr>
            </w:pPr>
            <w:hyperlink r:id="rId14"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781B3F"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781B3F"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781B3F"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8"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Besides bacterial and viral pneumonia can also be classified into subclasses (In fact COVID-19 pneumonia is a viral pneumonia itself). However, we do not need that </w:t>
            </w:r>
            <w:r>
              <w:rPr>
                <w:color w:val="252525"/>
              </w:rPr>
              <w:lastRenderedPageBreak/>
              <w:t>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lastRenderedPageBreak/>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gFAJWfFAwtAAAA"/>
  </w:docVars>
  <w:rsids>
    <w:rsidRoot w:val="009C3826"/>
    <w:rsid w:val="00022F44"/>
    <w:rsid w:val="00025604"/>
    <w:rsid w:val="00061AAC"/>
    <w:rsid w:val="000E7FF2"/>
    <w:rsid w:val="00102019"/>
    <w:rsid w:val="00121A8E"/>
    <w:rsid w:val="001274AF"/>
    <w:rsid w:val="0015531A"/>
    <w:rsid w:val="001F64D4"/>
    <w:rsid w:val="00254ACA"/>
    <w:rsid w:val="002568C7"/>
    <w:rsid w:val="00270CC0"/>
    <w:rsid w:val="0027382E"/>
    <w:rsid w:val="002853B7"/>
    <w:rsid w:val="002F5965"/>
    <w:rsid w:val="00332B0C"/>
    <w:rsid w:val="00334E25"/>
    <w:rsid w:val="00347E2F"/>
    <w:rsid w:val="0035070A"/>
    <w:rsid w:val="00370E78"/>
    <w:rsid w:val="003B5C12"/>
    <w:rsid w:val="003F11D2"/>
    <w:rsid w:val="004936B8"/>
    <w:rsid w:val="004964E3"/>
    <w:rsid w:val="004A28ED"/>
    <w:rsid w:val="004A2962"/>
    <w:rsid w:val="004D34FF"/>
    <w:rsid w:val="004E5F23"/>
    <w:rsid w:val="005B4E83"/>
    <w:rsid w:val="005F0871"/>
    <w:rsid w:val="0062753C"/>
    <w:rsid w:val="006640BB"/>
    <w:rsid w:val="0066437F"/>
    <w:rsid w:val="00673199"/>
    <w:rsid w:val="00683500"/>
    <w:rsid w:val="0069592D"/>
    <w:rsid w:val="006B5EF6"/>
    <w:rsid w:val="006E1236"/>
    <w:rsid w:val="00705432"/>
    <w:rsid w:val="00757F0F"/>
    <w:rsid w:val="00781055"/>
    <w:rsid w:val="00781B3F"/>
    <w:rsid w:val="007A2FD2"/>
    <w:rsid w:val="007B17DA"/>
    <w:rsid w:val="007D13A0"/>
    <w:rsid w:val="007E0435"/>
    <w:rsid w:val="00842349"/>
    <w:rsid w:val="00870DBD"/>
    <w:rsid w:val="008B6EBB"/>
    <w:rsid w:val="00944003"/>
    <w:rsid w:val="00956AEB"/>
    <w:rsid w:val="009B4020"/>
    <w:rsid w:val="009B6EB1"/>
    <w:rsid w:val="009C3826"/>
    <w:rsid w:val="009C3E69"/>
    <w:rsid w:val="009E58EC"/>
    <w:rsid w:val="00A34ED9"/>
    <w:rsid w:val="00A57ED6"/>
    <w:rsid w:val="00A71EF1"/>
    <w:rsid w:val="00A7223E"/>
    <w:rsid w:val="00A76015"/>
    <w:rsid w:val="00A77E4E"/>
    <w:rsid w:val="00A96479"/>
    <w:rsid w:val="00A96B9A"/>
    <w:rsid w:val="00AB5A27"/>
    <w:rsid w:val="00AF7B45"/>
    <w:rsid w:val="00B35687"/>
    <w:rsid w:val="00B65890"/>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eibir.org/covid-19-imaging-datasets/" TargetMode="External"/><Relationship Id="rId18" Type="http://schemas.openxmlformats.org/officeDocument/2006/relationships/hyperlink" Target="https://ieeexplore.ieee.org/document/9374968" TargetMode="External"/><Relationship Id="rId3" Type="http://schemas.openxmlformats.org/officeDocument/2006/relationships/styles" Target="styles.xml"/><Relationship Id="rId7" Type="http://schemas.openxmlformats.org/officeDocument/2006/relationships/hyperlink" Target="https://www.ncbi.nlm.nih.gov/pmc/articles/PMC7436068/" TargetMode="External"/><Relationship Id="rId12" Type="http://schemas.openxmlformats.org/officeDocument/2006/relationships/hyperlink" Target="https://www.kaggle.com/paultimothymooney/chest-xray-pneumonia" TargetMode="External"/><Relationship Id="rId17" Type="http://schemas.openxmlformats.org/officeDocument/2006/relationships/hyperlink" Target="https://www.eibir.org/covid-19-imaging-datasets/" TargetMode="External"/><Relationship Id="rId2" Type="http://schemas.openxmlformats.org/officeDocument/2006/relationships/numbering" Target="numbering.xml"/><Relationship Id="rId16" Type="http://schemas.openxmlformats.org/officeDocument/2006/relationships/hyperlink" Target="https://www.kaggle.com/paultimothymooney/chest-xray-pneumo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rsna-pneumonia-detection-challenge" TargetMode="External"/><Relationship Id="rId5" Type="http://schemas.openxmlformats.org/officeDocument/2006/relationships/webSettings" Target="webSettings.xml"/><Relationship Id="rId15" Type="http://schemas.openxmlformats.org/officeDocument/2006/relationships/hyperlink" Target="https://www.kaggle.com/c/rsna-pneumonia-detection-challenge" TargetMode="External"/><Relationship Id="rId10" Type="http://schemas.openxmlformats.org/officeDocument/2006/relationships/hyperlink" Target="https://github.com/ieee8023/covid-chestxray-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8-020-74539-2" TargetMode="External"/><Relationship Id="rId14" Type="http://schemas.openxmlformats.org/officeDocument/2006/relationships/hyperlink" Target="https://github.com/ieee8023/covid-chestxra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10379</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42</cp:revision>
  <dcterms:created xsi:type="dcterms:W3CDTF">2021-08-26T15:07:00Z</dcterms:created>
  <dcterms:modified xsi:type="dcterms:W3CDTF">2021-09-26T21:14:00Z</dcterms:modified>
</cp:coreProperties>
</file>