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E1.4 随机几何图实验简要说明</w:t>
      </w:r>
    </w:p>
    <w:p>
      <w:pPr>
        <w:spacing w:after="240"/>
        <w:jc w:val="center"/>
      </w:pPr>
      <w:r>
        <w:rPr>
          <w:rFonts w:ascii="宋体" w:hAnsi="宋体" w:eastAsia="宋体" w:cs="宋体"/>
          <w:b w:val="0"/>
          <w:color w:val="000000"/>
          <w:sz w:val="22"/>
        </w:rPr>
        <w:t>张子瑜    2026年10月28日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任务在原仓库中增加随机几何图（RGG），考察节点空间分布和连接半径变化对效应估计的影响。沿用原数据生成框架、冻结模型和95%区间算法，保留原有场景。以下汇总原始实验及补充复验，详细数值和图表见实验结果包。</w:t>
      </w:r>
    </w:p>
    <w:p>
      <w:pPr>
        <w:pStyle w:val="Heading1"/>
        <w:keepNext/>
        <w:spacing w:before="180" w:after="100"/>
      </w:pPr>
      <w:r>
        <w:rPr>
          <w:rFonts w:ascii="宋体" w:hAnsi="宋体" w:eastAsia="宋体" w:cs="宋体"/>
          <w:b/>
          <w:color w:val="000000"/>
          <w:sz w:val="26"/>
        </w:rPr>
        <w:t>一 实验设置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原始实验采用均匀分布、双簇聚集两种节点分布，分别设置0.12、0.18、0.24三个连接半径，共6个场景。每图200个节点，每场景20个独立机制，每机制重复12次，观测结果数M取20、50、100，共4,320个实验上下文。比较iPFN-J及仓库中的9个基线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出现孤立节点时重新抽取整张点云，不补边，允许多个连通分量。因此，本实验对应条件于无孤立节点的RGG。评估直接效应、受处理节点的溢出效应和总效应；ITE为节点效应，ATE为全图200个节点效应的平均值。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补充实验包括100个新机制的覆盖率复验，以及50对平均度匹配的空间图对照，均采用12次重复和三个M设置，共7,200个上下文。模型权重和区间算法未作调整。</w:t>
      </w:r>
    </w:p>
    <w:p>
      <w:pPr>
        <w:pStyle w:val="Heading1"/>
        <w:keepNext/>
        <w:spacing w:before="180" w:after="100"/>
      </w:pPr>
      <w:r>
        <w:rPr>
          <w:rFonts w:ascii="宋体" w:hAnsi="宋体" w:eastAsia="宋体" w:cs="宋体"/>
          <w:b/>
          <w:color w:val="000000"/>
          <w:sz w:val="26"/>
        </w:rPr>
        <w:t>二 主要结果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原始实验的54个覆盖率单元中，53个达到90%。未达标项为均匀分布、半径0.24、M=50的溢出效应，覆盖率为89.17%（214/240）。新增100个独立机制对该场景复验，同一端点覆盖率为95.83%（1,150/1,200），按机制重抽样的95%区间为92.42%—98.50%。原结果单独保留，未用新结果替换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新增27个覆盖率单元均达到90%，范围为93.33%—97.33%。这些覆盖率均指iPFN-J；其他方法的当前接口不支持区间时记为不适用。复验针对原结果中选出的一个场景，不能据此认定所有原始场景都已获得独立验证。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原始六场景汇总后，M=50时iPFN-J的直接、溢出、总效应RMSE分别为0.2575、0.1114、0.2902。Bias、方差和RMSE完整结果见原模板表格；Bias按机制内平均误差的绝对值汇总，方差使用机制内R−1分母。</w:t>
      </w:r>
    </w:p>
    <w:p>
      <w:r>
        <w:br w:type="page"/>
      </w:r>
    </w:p>
    <w:p>
      <w:pPr>
        <w:pStyle w:val="Heading1"/>
        <w:keepNext/>
        <w:spacing w:before="180" w:after="100"/>
      </w:pPr>
      <w:r>
        <w:rPr>
          <w:rFonts w:ascii="宋体" w:hAnsi="宋体" w:eastAsia="宋体" w:cs="宋体"/>
          <w:b/>
          <w:color w:val="000000"/>
          <w:sz w:val="26"/>
        </w:rPr>
        <w:t>三 补充比较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空间对照中，每图固定1,800条边，平均度为18。半径仅由坐标确定；每对图共用特征、响应系数、处理、噪声及观测掩码。M=50时的结果如下，差值为双簇图RMSE减去均匀图RMSE。</w:t>
      </w:r>
    </w:p>
    <w:p>
      <w:pPr>
        <w:spacing w:after="100"/>
      </w:pPr>
      <w:r>
        <w:rPr>
          <w:rFonts w:ascii="宋体" w:hAnsi="宋体" w:eastAsia="宋体" w:cs="宋体"/>
          <w:b w:val="0"/>
          <w:color w:val="000000"/>
          <w:sz w:val="22"/>
        </w:rPr>
        <w:t>表1  平均度匹配后的iPFN-J误差比较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1944"/>
        <w:gridCol w:w="4363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2F2"/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效应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2F2"/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均匀图RMSE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2F2"/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双簇图RMSE</w:t>
            </w:r>
          </w:p>
        </w:tc>
        <w:tc>
          <w:tcPr>
            <w:tcW w:type="dxa" w:w="4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2F2F2"/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差值的95%区间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直接效应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0.2484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0.2508</w:t>
            </w:r>
          </w:p>
        </w:tc>
        <w:tc>
          <w:tcPr>
            <w:tcW w:type="dxa" w:w="4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[-0.0012, 0.0060]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溢出效应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0.1110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0.1289</w:t>
            </w:r>
          </w:p>
        </w:tc>
        <w:tc>
          <w:tcPr>
            <w:tcW w:type="dxa" w:w="4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[0.0101, 0.0247]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总效应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0.2757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0.2884</w:t>
            </w:r>
          </w:p>
        </w:tc>
        <w:tc>
          <w:tcPr>
            <w:tcW w:type="dxa" w:w="4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[0.0057, 0.0196]</w:t>
            </w:r>
          </w:p>
        </w:tc>
      </w:tr>
    </w:tbl>
    <w:p>
      <w:pPr>
        <w:spacing w:before="100"/>
        <w:ind w:firstLine="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注：采用50对机制的配对bootstrap，重抽样10,000次；区间未作多重比较校正。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匹配后，双簇图的溢出和总效应RMSE仍较高，差值区间未跨过0；直接效应的差值区间跨过0。平均度相同并不意味着度分布、聚类系数或连通性相同，因此该结果只能解释为相同平均度下的空间分布比较。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原始实验中，M=50时iPFN-J与两个kernel基线的6项比较有5项RMSE差值区间跨过0，不能笼统宣称iPFN-J更好。另外，均匀图半径增大时，溢出效应的绝对RMSE下降，但RMSE与真实ATE均方根的比值由约0.47升至0.65，说明误差下降伴随着目标效应缩小。</w:t>
      </w:r>
    </w:p>
    <w:p>
      <w:pPr>
        <w:pStyle w:val="Heading1"/>
        <w:keepNext/>
        <w:spacing w:before="180" w:after="100"/>
      </w:pPr>
      <w:r>
        <w:rPr>
          <w:rFonts w:ascii="宋体" w:hAnsi="宋体" w:eastAsia="宋体" w:cs="宋体"/>
          <w:b/>
          <w:color w:val="000000"/>
          <w:sz w:val="26"/>
        </w:rPr>
        <w:t>四 检查与提交内容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已有记录显示，15项数值检查通过；补充实验没有预测或区间计算失败，1,800组匹配输入检查通过，模型权重哈希一致。原始图表由make_figures.py和make_table.py生成；补充图表复用这两个脚本的原函数，另增加覆盖率和配对分析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代码包包含新增脚本、Notebook、实验协议和复现说明，需合并到原仓库使用。实验结果包包含汇总CSV、图表和验证记录；逐次输入及预测的完整附件链接列在包内README中。运行命令见代码包的E14_README.md和E14_FOLLOWUP.md。GitHub PR尚未提交。</w:t>
      </w:r>
    </w:p>
    <w:p>
      <w:pPr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本次仅整理提交文件并重写说明，未重新运行实验或修改已有数值。结论限于当前节点规模、处理机制及无孤立节点条件；未验证空间混杂，也未重新训练或校准模型。</w:t>
      </w:r>
    </w:p>
    <w:sectPr w:rsidR="00FC693F" w:rsidRPr="0006063C" w:rsidSect="00034616">
      <w:footerReference w:type="default" r:id="rId9"/>
      <w:pgSz w:w="12240" w:h="15840"/>
      <w:pgMar w:top="1094" w:right="1238" w:bottom="1094" w:left="1238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1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0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宋体" w:hAnsi="宋体" w:eastAsia="宋体" w:cs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宋体" w:hAnsi="宋体" w:eastAsia="宋体" w:cs="宋体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宋体" w:hAnsi="宋体" w:eastAsia="宋体" w:cs="宋体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宋体" w:hAnsi="宋体" w:eastAsia="宋体" w:cs="宋体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宋体" w:hAnsi="宋体" w:eastAsia="宋体" w:cs="宋体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宋体" w:hAnsi="宋体" w:eastAsia="宋体" w:cs="宋体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宋体" w:hAnsi="宋体" w:eastAsia="宋体" w:cs="宋体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宋体" w:hAnsi="宋体" w:eastAsia="宋体" w:cs="宋体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宋体" w:hAnsi="宋体" w:eastAsia="宋体" w:cs="宋体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宋体" w:hAnsi="宋体" w:eastAsia="宋体" w:cs="宋体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宋体" w:hAnsi="宋体" w:eastAsia="宋体" w:cs="宋体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宋体" w:hAnsi="宋体" w:eastAsia="宋体" w:cs="宋体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宋体" w:hAnsi="宋体" w:eastAsia="宋体" w:cs="宋体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宋体" w:hAnsi="宋体" w:eastAsia="宋体" w:cs="宋体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宋体" w:hAnsi="宋体" w:eastAsia="宋体" w:cs="宋体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宋体" w:hAnsi="宋体" w:eastAsia="宋体" w:cs="宋体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宋体" w:hAnsi="宋体" w:eastAsia="宋体" w:cs="宋体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E1.4 随机几何图实验简要说明</dc:title>
  <dc:subject>E1.4代码与实验结果提交说明</dc:subject>
  <dc:creator>张子瑜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