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УДК 372.881.161.1:004.9</w:t>
      </w:r>
    </w:p>
    <w:p>
      <w:pPr>
        <w:spacing w:before="0" w:after="0" w:line="240" w:lineRule="auto"/>
        <w:ind w:firstLine="0" w:left="0"/>
        <w:jc w:val="right"/>
      </w:pPr>
      <w:r>
        <w:rPr>
          <w:rFonts w:ascii="Times New Roman" w:hAnsi="Times New Roman" w:eastAsia="Times New Roman" w:cs="Times New Roman"/>
          <w:b/>
          <w:i/>
          <w:sz w:val="28"/>
          <w:highlight w:val="yellow"/>
          <w:lang w:val="ru-RU"/>
        </w:rPr>
        <w:t>И. О. Фамилия</w:t>
      </w:r>
    </w:p>
    <w:p>
      <w:pPr>
        <w:spacing w:before="0" w:after="0" w:line="240" w:lineRule="auto"/>
        <w:ind w:firstLine="0" w:left="0"/>
        <w:jc w:val="right"/>
      </w:pPr>
      <w:r>
        <w:rPr>
          <w:rFonts w:ascii="Times New Roman" w:hAnsi="Times New Roman" w:eastAsia="Times New Roman" w:cs="Times New Roman"/>
          <w:b w:val="0"/>
          <w:i/>
          <w:sz w:val="28"/>
          <w:highlight w:val="yellow"/>
          <w:lang w:val="ru-RU"/>
        </w:rPr>
        <w:t>статус автора (магистрант / студент / преподаватель)</w:t>
      </w:r>
    </w:p>
    <w:p>
      <w:pPr>
        <w:spacing w:before="0" w:after="0" w:line="240" w:lineRule="auto"/>
        <w:ind w:firstLine="0" w:left="0"/>
        <w:jc w:val="right"/>
      </w:pPr>
      <w:r>
        <w:rPr>
          <w:rFonts w:ascii="Times New Roman" w:hAnsi="Times New Roman" w:eastAsia="Times New Roman" w:cs="Times New Roman"/>
          <w:b w:val="0"/>
          <w:i/>
          <w:sz w:val="28"/>
          <w:highlight w:val="yellow"/>
          <w:lang w:val="ru-RU"/>
        </w:rPr>
        <w:t>полное название организации, город, страна</w:t>
      </w:r>
    </w:p>
    <w:p>
      <w:pPr>
        <w:spacing w:before="0" w:after="0" w:line="240" w:lineRule="auto"/>
        <w:ind w:firstLine="0" w:left="0"/>
        <w:jc w:val="right"/>
      </w:pPr>
      <w:r>
        <w:rPr>
          <w:rFonts w:ascii="Times New Roman" w:hAnsi="Times New Roman" w:eastAsia="Times New Roman" w:cs="Times New Roman"/>
          <w:b/>
          <w:i/>
          <w:sz w:val="28"/>
          <w:highlight w:val="yellow"/>
          <w:lang w:val="ru-RU"/>
        </w:rPr>
        <w:t>И. О. Фамилия научного руководителя</w:t>
      </w:r>
    </w:p>
    <w:p>
      <w:pPr>
        <w:spacing w:before="0" w:after="0" w:line="240" w:lineRule="auto"/>
        <w:ind w:firstLine="0" w:left="0"/>
        <w:jc w:val="right"/>
      </w:pPr>
      <w:r>
        <w:rPr>
          <w:rFonts w:ascii="Times New Roman" w:hAnsi="Times New Roman" w:eastAsia="Times New Roman" w:cs="Times New Roman"/>
          <w:b w:val="0"/>
          <w:i/>
          <w:sz w:val="28"/>
          <w:highlight w:val="yellow"/>
          <w:lang w:val="ru-RU"/>
        </w:rPr>
        <w:t>ученая степень, ученое звание</w:t>
      </w:r>
    </w:p>
    <w:p>
      <w:pPr>
        <w:spacing w:before="0" w:after="0" w:line="240" w:lineRule="auto"/>
        <w:ind w:firstLine="0" w:left="0"/>
        <w:jc w:val="right"/>
      </w:pPr>
      <w:r>
        <w:rPr>
          <w:rFonts w:ascii="Times New Roman" w:hAnsi="Times New Roman" w:eastAsia="Times New Roman" w:cs="Times New Roman"/>
          <w:b w:val="0"/>
          <w:i/>
          <w:sz w:val="28"/>
          <w:highlight w:val="yellow"/>
          <w:lang w:val="ru-RU"/>
        </w:rPr>
        <w:t>полное название организации, город, страна</w:t>
      </w:r>
    </w:p>
    <w:p>
      <w:pPr>
        <w:spacing w:before="0" w:after="0" w:line="240" w:lineRule="auto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</w:r>
    </w:p>
    <w:p>
      <w:pPr>
        <w:spacing w:before="0" w:after="0" w:line="24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>ЦИФРОВЫЕ ИНСТРУМЕНТЫ В ОБУЧЕНИИ РУССКОМУ ЯЗЫКУ КАК ИНОСТРАННОМУ УЗБЕКОЯЗЫЧНЫХ СТУДЕНТОВ</w:t>
      </w:r>
    </w:p>
    <w:p>
      <w:pPr>
        <w:spacing w:before="0" w:after="0" w:line="240" w:lineRule="auto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Аннотация. </w:t>
      </w:r>
      <w:r>
        <w:rPr>
          <w:rFonts w:ascii="Times New Roman" w:hAnsi="Times New Roman" w:eastAsia="Times New Roman" w:cs="Times New Roman"/>
          <w:b w:val="0"/>
          <w:i w:val="0"/>
          <w:sz w:val="24"/>
          <w:lang w:val="ru-RU"/>
        </w:rPr>
        <w:t>Анализируются зоны языковых трудностей узбекоязычных учащихся, описанные в исследованиях русско-узбекской интерференции, и сопоставляются с дидактическими функциями цифровых средств обучения. Цель работы состоит в том, чтобы обосновать принцип отбора цифрового инструмента под конкретный тип трудности. Использован сопоставительный анализ лингводидактических работ и работ по интерференции. Результатом стала классификация, в которой четыре группы трудностей соотнесены с типом цифрового средства, видом учебной деятельности и функцией преподавателя. Показано, что выбор инструмента определяется природой языковой трудности, а не тем, какая технология оказалась под рукой.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 xml:space="preserve">Ключевые слова: </w:t>
      </w:r>
      <w:r>
        <w:rPr>
          <w:rFonts w:ascii="Times New Roman" w:hAnsi="Times New Roman" w:eastAsia="Times New Roman" w:cs="Times New Roman"/>
          <w:b w:val="0"/>
          <w:i w:val="0"/>
          <w:sz w:val="24"/>
          <w:lang w:val="ru-RU"/>
        </w:rPr>
        <w:t>русский язык как иностранный, узбекоязычные учащиеся, межъязыковая интерференция, цифровые средства обучения, чат-боты, голосовые помощники, отбор учебных заданий.</w:t>
      </w:r>
    </w:p>
    <w:p>
      <w:pPr>
        <w:spacing w:before="0" w:after="0" w:line="240" w:lineRule="auto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Узбекоязычная аудитория занимает в преподавании русского языка как иностранного особое место. А. В. Осипова отмечает, что от других категорий иностранцев её отличает наличие базовых навыков и фрагментарных знаний: элементарной разговорной речи, небольшого объёма грамматических сведений, некоторого лексического запаса, которых для полноценного общения, однако, не хватает [2]. Э. К. Юсупов связывает запрос на этноориентированное преподавание РКИ узбекским студентам с необходимостью индивидуализации и персонализации обучения [8]. Обе характеристики, неоднородность подготовки и потребность в индивидуализации, приводят к вопросу о средствах, позволяющих дифференцировать работу внутри одной группы. Б. Б. Рахманова, анализируя образовательные технологии при изучении русского языка в Узбекистане, пишет, что они расширяют доступ к ресурсам, дают учащимся больше самостоятельности в управлении обучением и помогают улучшить произношение [3]. Но вопрос, на наш взгляд, стоит иначе: не «полезны ли цифровые средства вообще», а «какое средство отвечает какой языковой трудности».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 xml:space="preserve">Зоны трудностей узбекоязычных учащихся. 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Источники позволяют выделить четыре группы, различающиеся каналом проявления и типом требуемой отработки.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  <w:lang w:val="ru-RU"/>
        </w:rPr>
        <w:t xml:space="preserve">Фонетико-графическая группа. 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А. В. Осипова указывает на фиксированное ударение узбекского языка, из-за которого разноместное русское ударение приходится заучивать; на отсутствие буквы «ы», которую произносят как [и] (добрИй, мИшь); на трудноразличимость шипящих [ш] и [щ]; на произношение [ц], которому в узбекском соответствует ts или s (Сирк, милиТСия); на отсутствие «ь», что даёт ошибки и на письме, и в произношении [2]. Ж. Сайдуллаева подтверждает те же зоны на материале национальных групп вузов Узбекистана (БИЛ вместо БЫЛ, МИ вместо МЫ, ТСИРК вместо ЦИРК) и заключает: «Интерференция способна охватывать разные уровни языка, но особенно заметна в фонетике» [5, с. 39]. Сюда же примыкает графическая интерференция особого рода: М. Джусупов описывает латинизированную лингвографическую интерференцию в русской письменной речи тюркофонов, возникшую при параллельном функционировании латиницы и кириллицы, и связывает её с влиянием диграфов узбекской латиницы и правил английской орфографии [1].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  <w:lang w:val="ru-RU"/>
        </w:rPr>
        <w:t xml:space="preserve">Морфологическая группа. 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В узбекском языке нет категории рода, отсюда ошибки согласования типа добрЫЙ мать [2]. Системность таких нарушений показали З. И. Резанова и Ю. А. Рябова: в речи тюркско-русских билингвов ошибки в употреблении рода преобладают во всех синтаксических позициях, а различия в категории числа проявляются в основном у вещественных и собирательных существительных [4]. Падежная система считается одной из самых сложных тем, отдельную трудность составляют предлоги «в» и «на» (на театр, в концерт), а отсутствие категории вида в узбекском мешает разграничивать глаголы совершенного и несовершенного вида [2].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  <w:lang w:val="ru-RU"/>
        </w:rPr>
        <w:t xml:space="preserve">Синтаксическая группа. 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Ж. Сайдуллаева отмечает, что в узбекском предложении сказуемое стоит в конце, поэтому студенты строят русские фразы по модели родного языка: Я книгу читаю, Я яблоки люблю; сюда же относится трактовка названий животных как неодушевлённых, отвечающих на вопрос nima? («что?») [5]. А. В. Осипова объясняет это гибким строем русского предложения при жёсткой позиции глагола в узбекском [2].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  <w:lang w:val="ru-RU"/>
        </w:rPr>
        <w:t xml:space="preserve">Лексическая группа. 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Э. К. Юсупов выделяет незнание или неверное понимание терминов и отсутствие их эквивалентов в узбекском языке. Он же замечает, что фонетические трудности осложняют запоминание новой терминологии [8].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Обобщающая формулировка принадлежит А. В. Осиповой: «причина большинства допускаемых коммуникационных и графических ошибок узбекоязычными учащимися состоит в несовпадении двух языковых систем, в отсутствии определённых сходств грамматических явлений» [2, с. 138]. Раз так, перечисленные трудности прогнозируемы и повторяются от группы к группе, а средства их отработки можно подбирать заранее.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 xml:space="preserve">Цифровые средства, подтверждённые исследованиями. 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С. В. Титова описывает голосовых помощников, особенно полезных начинающим без доступа к собеседникам или носителям языка: они применяются для развития фонетических и грамматических навыков и умений устной интеракции [7]. Ею же охарактеризованы грамматические боты, которые не только правят текст, но и комментируют ошибки и дают рекомендации по грамматике, лексике и синтаксису; лексические боты с карточками, списками слов, тестами и играми; боты-переводчики, дающие помимо перевода расширенный контекст употребления с озвучиванием; системы автоматической проверки письменных текстов с мгновенной развёрнутой персональной обратной связью; двуязычные словари, конкордансы и корпуса текстов [7]. П. В. Сысоев и Е. М. Филатов показывают, как чат-боты и голосовые помощники помогают организовать внеаудиторную речевую практику студентов РКИ, результаты которой затем разбираются на занятии [6]. Б. Б. Рахманова отмечает роль онлайн-курсов и электронных ресурсов, доступных в любое время и расширяющих возможности работы над произношением [3].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 xml:space="preserve">Предлагаемая классификация. 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Сопоставление двух рядов, зон трудности и дидактических функций цифровых средств, позволяет предложить систему соотнесений (табл. 1). Она сформирована на основе анализа литературы и экспериментальной проверки не проходила. Фонетическая и графическая подгруппы в таблице разведены, поскольку требуют разных средств.</w:t>
      </w:r>
    </w:p>
    <w:p>
      <w:pPr>
        <w:keepNext/>
        <w:spacing w:before="0" w:after="0" w:line="24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  <w:lang w:val="ru-RU"/>
        </w:rPr>
        <w:t>Таблица 1. Предлагаемое соотнесение типов языковых трудностей узбекоязычных учащихся и цифровых средств обучения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268"/>
        <w:gridCol w:w="2324"/>
        <w:gridCol w:w="2721"/>
      </w:tblGrid>
      <w:tr>
        <w:tc>
          <w:tcPr>
            <w:tcW w:type="dxa" w:w="232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lang w:val="ru-RU"/>
              </w:rPr>
              <w:t>Тип трудности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lang w:val="ru-RU"/>
              </w:rPr>
              <w:t>Цифровое средство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lang w:val="ru-RU"/>
              </w:rPr>
              <w:t>Вид учебной деятельности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lang w:val="ru-RU"/>
              </w:rPr>
              <w:t>Функция преподавателя</w:t>
            </w:r>
          </w:p>
        </w:tc>
      </w:tr>
      <w:tr>
        <w:tc>
          <w:tcPr>
            <w:tcW w:type="dxa" w:w="23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ru-RU"/>
              </w:rPr>
              <w:t>Фонетическая: [ы], [ц], шипящие, разноместное ударение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ru-RU"/>
              </w:rPr>
              <w:t>Голосовой помощник, средства распознавания и синтеза речи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ru-RU"/>
              </w:rPr>
              <w:t>Прослушивание, повторение, сравнение своего произнесения с эталоном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ru-RU"/>
              </w:rPr>
              <w:t>Отбор минимальных пар, контроль произношения, разграничение акцента и единичной ошибки</w:t>
            </w:r>
          </w:p>
        </w:tc>
      </w:tr>
      <w:tr>
        <w:tc>
          <w:tcPr>
            <w:tcW w:type="dxa" w:w="23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ru-RU"/>
              </w:rPr>
              <w:t>Графическая: кириллица и латиница, «ь»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ru-RU"/>
              </w:rPr>
              <w:t>Цифровые тренировочные задания, автоматическая проверка письменных текстов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ru-RU"/>
              </w:rPr>
              <w:t>Тренировка написания, диктант, работа с размеченными фрагментами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ru-RU"/>
              </w:rPr>
              <w:t>Объяснение ошибки через сопоставление графических систем, проверка автоматической разметки</w:t>
            </w:r>
          </w:p>
        </w:tc>
      </w:tr>
      <w:tr>
        <w:tc>
          <w:tcPr>
            <w:tcW w:type="dxa" w:w="23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ru-RU"/>
              </w:rPr>
              <w:t>Морфологическая: род и согласование, падеж, предлоги, вид глагола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ru-RU"/>
              </w:rPr>
              <w:t>Генеративный чат-бот, грамматический бот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ru-RU"/>
              </w:rPr>
              <w:t>Объяснение правила, тренировочные предложения, самокоррекция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ru-RU"/>
              </w:rPr>
              <w:t>Проверка достоверности объяснения, отбор примеров по частотности ошибки</w:t>
            </w:r>
          </w:p>
        </w:tc>
      </w:tr>
      <w:tr>
        <w:tc>
          <w:tcPr>
            <w:tcW w:type="dxa" w:w="23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ru-RU"/>
              </w:rPr>
              <w:t>Синтаксическая: порядок слов, одушевлённость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ru-RU"/>
              </w:rPr>
              <w:t>Генеративный чат-бот в диалоговом режиме, боты-переводчики с контекстом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ru-RU"/>
              </w:rPr>
              <w:t>Перестроение предложений, сопоставление русской и узбекской моделей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ru-RU"/>
              </w:rPr>
              <w:t>Контроль сопоставления, предупреждение переноса модели родного языка</w:t>
            </w:r>
          </w:p>
        </w:tc>
      </w:tr>
      <w:tr>
        <w:tc>
          <w:tcPr>
            <w:tcW w:type="dxa" w:w="23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ru-RU"/>
              </w:rPr>
              <w:t>Лексическая: терминология, лакуны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ru-RU"/>
              </w:rPr>
              <w:t>Лексические боты, электронные словари, конкордансы и корпуса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ru-RU"/>
              </w:rPr>
              <w:t>Интервальное повторение, карточки и списки, контекстные задания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ru-RU"/>
              </w:rPr>
              <w:t>Отбор лексического минимума, проверка терминологии специальности</w:t>
            </w:r>
          </w:p>
        </w:tc>
      </w:tr>
    </w:tbl>
    <w:p>
      <w:pPr>
        <w:spacing w:before="0" w:after="0" w:line="240" w:lineRule="auto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 xml:space="preserve">Обоснование принципа отбора. 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Предлагаемая система строится на одном допущении: трудность и инструмент должны совпадать по каналу. Фонетическая трудность живёт в звучащей речи, ей нужен эталон произнесения и возможность повторить, поэтому текстовый чат-бот здесь бесполезен, а голосовой помощник уместен [7]. Морфологическая трудность требует метаязыкового объяснения и массовой отработки на однотипном материале, а это как раз функции генеративных и грамматических ботов [6; 7]. Лексическая трудность связана с удержанием единиц в памяти, чему отвечают средства интервального повторения и контекстные ресурсы [7]. Отсюда главный вывод работы: цифровой инструмент подбирается под природу языковой трудности, а не под доступность технологии, и одно универсальное средство для всех групп ошибок методически не оправдано.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Данные о системности ошибок узбекоязычных учащихся [2; 4; 5] делают этот принцип рабочим. Набор отклонений прогнозируем, поэтому тренировочный материал можно готовить заранее и по категориям, а не по факту случайного затруднения.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 xml:space="preserve">Методические условия. 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Первое условие касается отбора заданий: генерируемые и готовые цифровые упражнения должны соотноситься с подтверждённым типом трудности, а не подбираться произвольно. Второе связано с достоверностью. П. В. Сысоев и Е. М. Филатов предупреждают, что чат-боты и голосовые помощники при нехватке фактической информации способны её придумывать, поэтому обучающихся нужно заранее предупредить о таких рисках [6]; для аудитории без надёжной опоры на языковую среду это особенно важно. Третье условие связано с уровнем владения русским языком: фрагментарность исходных знаний [2] и неоднородность подготовки [8] означают, что одни и те же цифровые задания нельзя адресовать всей группе. Четвёртое предполагает постепенный переход к самостоятельной работе: внеаудиторная практика с цифровым средством встраивается в традиционное обучение и служит материалом для разбора в аудитории [6], а расширение самостоятельности рассматривается как результат, а не как исходная предпосылка [3].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 xml:space="preserve">Выводы. 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Возможности цифровых инструментов в обучении РКИ узбекоязычных студентов определяются тем, насколько точно средство соотнесено с типом языковой трудности. Трудности этой аудитории описаны в литературе как системные и прогнозируемые, что позволяет распределить их по четырём группам и сопоставить каждой тип цифрового средства, вид учебной деятельности и функцию преподавателя. Предлагаемая классификация выведена из анализа литературы и нуждается в проверке на практике. Её применение представляется целесообразным при четырёх условиях: методический отбор заданий, контроль достоверности генерируемой обратной связи, учёт уровня владения языком и поэтапный переход учащегося к самостоятельной работе.</w:t>
      </w:r>
    </w:p>
    <w:p>
      <w:pPr>
        <w:spacing w:before="0" w:after="0" w:line="240" w:lineRule="auto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</w:r>
    </w:p>
    <w:p>
      <w:pPr>
        <w:keepNext/>
        <w:spacing w:before="0" w:after="0" w:line="24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>Литературные и интернет-источники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lang w:val="ru-RU"/>
        </w:rPr>
        <w:t>1. Джусупов М. Переход с кириллицы на латиницу и проблема лингвографической интерференции в русской речи тюркофона // Русистика. 2022. Т. 20, № 3. С. 312–329. DOI 10.22363/2618-8163-2022-20-3-312-329.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lang w:val="ru-RU"/>
        </w:rPr>
        <w:t>2. Осипова А. В. К вопросу о сложностях освоения русского языка и литературы узбекоязычной аудиторией // [название сборника или журнала, место издания]. 2024. С. 136–140.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lang w:val="ru-RU"/>
        </w:rPr>
        <w:t>3. Рахманова Б. Б. Повышение эффективности использования образовательных технологий в процессе изучения русского языка в узбекских общеобразовательных учреждениях // [название сборника или журнала, место издания]. 2024. С. 73–78.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lang w:val="ru-RU"/>
        </w:rPr>
        <w:t>4. Резанова З. И., Рябова Ю. А. Категории рода и числа в речи тюркско-русских билингвов: интерферентное влияние или внутриязыковые тенденции? // Русин. 2021. № 66. С. 166–182. DOI 10.17223/18572685/66/10.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lang w:val="ru-RU"/>
        </w:rPr>
        <w:t>5. Сайдуллаева Ж. Явление языковой интерференции при изучении русского языка в национальных группах вузов Узбекистана // [название сборника или журнала, место издания]. [год]. С. 38–40.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lang w:val="ru-RU"/>
        </w:rPr>
        <w:t>6. Сысоев П. В., Филатов Е. М. Технологии искусственного интеллекта в обучении русскому языку как иностранному // Русистика. 2024. Т. 22, № 2. С. 300–317. DOI 10.22363/2618-8163-2024-22-2-300-317.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lang w:val="ru-RU"/>
        </w:rPr>
        <w:t>7. Титова С. В. Технологические решения на базе искусственного интеллекта в обучении иностранным языкам: аналитический обзор // Вестник Московского университета. Серия 19: Лингвистика и межкультурная коммуникация. 2024. Т. 27, № 2. С. 18–37. DOI 10.55959/MSU-2074-1588-19-27-2-2.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lang w:val="ru-RU"/>
        </w:rPr>
        <w:t>8. Юсупов Э. К. Развитие коммуникативной компетенции у узбекских студентов сельскохозяйственного профиля на занятиях по русскому языку как иностранному // Наука и школа. 2025. № 5. С. 156–160. DOI 10.31862/1819-463X-2025-5-156-160.</w:t>
      </w:r>
    </w:p>
    <w:sectPr w:rsidR="00FC693F" w:rsidRPr="0006063C" w:rsidSect="00034616"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 w:cs="Times New Roman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