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1FB" w:rsidRPr="004241FB" w:rsidRDefault="004241FB" w:rsidP="004241FB">
      <w:pPr>
        <w:spacing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Коммуникативная рациональность и правовая традиция в практике международного наблюдения: опыт выборов </w:t>
      </w:r>
      <w:r>
        <w:rPr>
          <w:rFonts w:ascii="Times New Roman" w:hAnsi="Times New Roman" w:cs="Times New Roman"/>
          <w:b/>
          <w:sz w:val="28"/>
          <w:szCs w:val="28"/>
        </w:rPr>
        <w:t xml:space="preserve">депутатов Государственной Думы</w:t>
      </w:r>
      <w:r>
        <w:rPr>
          <w:rFonts w:ascii="Times New Roman" w:hAnsi="Times New Roman" w:cs="Times New Roman"/>
          <w:b/>
          <w:sz w:val="28"/>
          <w:szCs w:val="28"/>
        </w:rPr>
        <w:t xml:space="preserve"> девятого созыва</w:t>
      </w:r>
    </w:p>
    <w:p w:rsidR="004241FB" w:rsidRPr="004241FB" w:rsidRDefault="004241FB" w:rsidP="004241FB">
      <w:pPr>
        <w:spacing w:line="276" w:lineRule="auto"/>
        <w:jc w:val="center"/>
        <w:rPr>
          <w:rFonts w:ascii="Times New Roman" w:hAnsi="Times New Roman" w:cs="Times New Roman"/>
          <w:sz w:val="28"/>
          <w:szCs w:val="28"/>
        </w:rPr>
      </w:pPr>
    </w:p>
    <w:p w:rsidR="004241FB" w:rsidRPr="004241FB" w:rsidRDefault="004241FB" w:rsidP="004241FB">
      <w:pPr>
        <w:spacing w:line="276" w:lineRule="auto"/>
        <w:rPr>
          <w:rFonts w:ascii="Times New Roman" w:hAnsi="Times New Roman" w:cs="Times New Roman"/>
          <w:sz w:val="28"/>
          <w:szCs w:val="28"/>
        </w:rPr>
      </w:pPr>
      <w:r>
        <w:rPr>
          <w:rFonts w:ascii="Times New Roman" w:hAnsi="Times New Roman" w:cs="Times New Roman"/>
          <w:b/>
          <w:sz w:val="28"/>
          <w:szCs w:val="28"/>
        </w:rPr>
        <w:t xml:space="preserve">Автор:</w:t>
      </w:r>
      <w:r>
        <w:rPr>
          <w:rFonts w:ascii="Times New Roman" w:hAnsi="Times New Roman" w:cs="Times New Roman"/>
          <w:sz w:val="28"/>
          <w:szCs w:val="28"/>
        </w:rPr>
        <w:t xml:space="preserve"> Нормуродов Жемал Уктамоевич,</w:t>
      </w:r>
    </w:p>
    <w:p w:rsidR="004241FB" w:rsidRDefault="004241FB" w:rsidP="004241FB">
      <w:pPr>
        <w:spacing w:line="276" w:lineRule="auto"/>
        <w:rPr>
          <w:rFonts w:ascii="Times New Roman" w:hAnsi="Times New Roman" w:cs="Times New Roman"/>
          <w:sz w:val="28"/>
          <w:szCs w:val="28"/>
        </w:rPr>
      </w:pPr>
      <w:r>
        <w:rPr>
          <w:rFonts w:ascii="Times New Roman" w:hAnsi="Times New Roman" w:cs="Times New Roman"/>
          <w:sz w:val="28"/>
          <w:szCs w:val="28"/>
        </w:rPr>
        <w:t xml:space="preserve">международный наблюдатель от Межпарламентской Ассамблеи государств – участников СНГ (МПА СНГ)</w:t>
      </w:r>
    </w:p>
    <w:p w:rsidR="004241FB" w:rsidRPr="004241FB" w:rsidRDefault="004241FB" w:rsidP="004241FB">
      <w:pPr>
        <w:spacing w:line="276" w:lineRule="auto"/>
        <w:rPr>
          <w:rFonts w:ascii="Times New Roman" w:hAnsi="Times New Roman" w:cs="Times New Roman"/>
          <w:sz w:val="28"/>
          <w:szCs w:val="28"/>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b/>
          <w:sz w:val="24"/>
          <w:szCs w:val="24"/>
        </w:rPr>
        <w:t xml:space="preserve">Аннотация</w:t>
      </w:r>
      <w:r>
        <w:rPr>
          <w:rFonts w:ascii="Times New Roman" w:hAnsi="Times New Roman" w:cs="Times New Roman"/>
          <w:sz w:val="24"/>
          <w:szCs w:val="24"/>
        </w:rPr>
        <w:t xml:space="preserve">. В статье анализируется феномен международного наблюдения за выборами через призму философии права.</w:t>
      </w:r>
      <w:r>
        <w:rPr>
          <w:rFonts w:ascii="Times New Roman" w:hAnsi="Times New Roman" w:cs="Times New Roman"/>
          <w:sz w:val="24"/>
          <w:szCs w:val="24"/>
        </w:rPr>
        <w:t xml:space="preserve"> </w:t>
      </w:r>
      <w:r>
        <w:rPr>
          <w:rFonts w:ascii="Times New Roman" w:hAnsi="Times New Roman" w:cs="Times New Roman"/>
          <w:sz w:val="24"/>
          <w:szCs w:val="24"/>
        </w:rPr>
        <w:t xml:space="preserve">Методологическую основу составляют</w:t>
      </w:r>
      <w:r>
        <w:rPr>
          <w:rFonts w:ascii="Times New Roman" w:hAnsi="Times New Roman" w:cs="Times New Roman"/>
          <w:sz w:val="24"/>
          <w:szCs w:val="24"/>
        </w:rPr>
        <w:t xml:space="preserve"> включённое наблюдение и философско-правовой анализ, опирающийся на концепцию коммуникативной рациональности и коммуникативную теорию права.</w:t>
      </w:r>
      <w:r>
        <w:rPr>
          <w:rFonts w:ascii="Times New Roman" w:hAnsi="Times New Roman" w:cs="Times New Roman"/>
          <w:sz w:val="24"/>
          <w:szCs w:val="24"/>
        </w:rPr>
        <w:t xml:space="preserve"> На примере мониторинга выборов депутатов Государственной Думы Федерального Собрания Российской Федерации девятого созыва (18–20 сентября 2026 г.) рассматривается трансформация роли наблюдателя из внешнего контролёра в субъекта правовой коммуникации. Особое внимание уделяется символическому значению процедур прозрачности — видеонаблюдения, открытости документации, многодневного голосования — как элементов российской правовой традиции, направленных на легитимацию власти через диалог с международным сообществом. Автор показывает, как современные избирательные процедуры конструируют правовую реальность через интерсубъективное взаимодействие.</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b/>
          <w:sz w:val="24"/>
          <w:szCs w:val="24"/>
        </w:rPr>
        <w:t xml:space="preserve">Ключевые слова:</w:t>
      </w:r>
      <w:r>
        <w:rPr>
          <w:rFonts w:ascii="Times New Roman" w:hAnsi="Times New Roman" w:cs="Times New Roman"/>
          <w:sz w:val="24"/>
          <w:szCs w:val="24"/>
        </w:rPr>
        <w:t xml:space="preserve"> международное наблюдение, выборы в Государственную Думу, правовая традиция, коммуникативная рациональность, легитимность, МПА СНГ, правовая культура, символика прозрачности.</w:t>
      </w:r>
    </w:p>
    <w:p w:rsidR="004241FB" w:rsidRPr="004241FB" w:rsidRDefault="004241FB" w:rsidP="004241FB">
      <w:pPr>
        <w:spacing w:line="276" w:lineRule="auto"/>
        <w:rPr>
          <w:rFonts w:ascii="Times New Roman" w:hAnsi="Times New Roman" w:cs="Times New Roman"/>
          <w:sz w:val="24"/>
          <w:szCs w:val="24"/>
        </w:rPr>
      </w:pPr>
    </w:p>
    <w:p>
      <w:pPr>
        <w:spacing w:line="276" w:lineRule="auto"/>
        <w:jc w:val="center"/>
        <w:rPr>
          <w:rFonts w:ascii="Times New Roman" w:hAnsi="Times New Roman" w:cs="Times New Roman"/>
          <w:b/>
          <w:sz w:val="24"/>
          <w:szCs w:val="24"/>
        </w:rPr>
      </w:pPr>
      <w:r>
        <w:rPr>
          <w:rFonts w:ascii="Times New Roman" w:hAnsi="Times New Roman" w:cs="Times New Roman"/>
          <w:b/>
          <w:sz w:val="24"/>
          <w:szCs w:val="24"/>
          <w:lang w:val="en-US"/>
        </w:rPr>
        <w:t xml:space="preserve">Communicative Rationality and Legal Tradition in the Practice of International Election Observation: The Experience of the Elections of Deputies of the State Duma of the Ninth Convocation</w:t>
      </w:r>
    </w:p>
    <w:p>
      <w:pPr>
        <w:spacing w:line="276" w:lineRule="auto"/>
        <w:rPr>
          <w:rFonts w:ascii="Times New Roman" w:hAnsi="Times New Roman" w:cs="Times New Roman"/>
          <w:sz w:val="24"/>
          <w:szCs w:val="24"/>
        </w:rPr>
      </w:pPr>
      <w:r>
        <w:rPr>
          <w:rFonts w:ascii="Times New Roman" w:hAnsi="Times New Roman" w:cs="Times New Roman"/>
          <w:b/>
          <w:sz w:val="24"/>
          <w:szCs w:val="24"/>
          <w:lang w:val="en-US"/>
        </w:rPr>
        <w:t xml:space="preserve">Author: </w:t>
      </w:r>
      <w:r>
        <w:rPr>
          <w:rFonts w:ascii="Times New Roman" w:hAnsi="Times New Roman" w:cs="Times New Roman"/>
          <w:sz w:val="24"/>
          <w:szCs w:val="24"/>
          <w:lang w:val="en-US"/>
        </w:rPr>
        <w:t xml:space="preserve">Zhemal U. Normurodov, international observer from the Interparliamentary Assembly of Member Nations of the Commonwealth of Independent States (IPA CIS)</w:t>
      </w:r>
    </w:p>
    <w:p>
      <w:pPr>
        <w:spacing w:line="276" w:lineRule="auto"/>
        <w:rPr>
          <w:rFonts w:ascii="Times New Roman" w:hAnsi="Times New Roman" w:cs="Times New Roman"/>
          <w:sz w:val="24"/>
          <w:szCs w:val="24"/>
        </w:rPr>
      </w:pPr>
      <w:r>
        <w:rPr>
          <w:rFonts w:ascii="Times New Roman" w:hAnsi="Times New Roman" w:cs="Times New Roman"/>
          <w:b/>
          <w:sz w:val="24"/>
          <w:szCs w:val="24"/>
          <w:lang w:val="en-US"/>
        </w:rPr>
        <w:t xml:space="preserve">Abstract</w:t>
      </w:r>
      <w:r>
        <w:rPr>
          <w:rFonts w:ascii="Times New Roman" w:hAnsi="Times New Roman" w:cs="Times New Roman"/>
          <w:sz w:val="24"/>
          <w:szCs w:val="24"/>
          <w:lang w:val="en-US"/>
        </w:rPr>
        <w:t xml:space="preserve">. The article analyses the phenomenon of international election observation through the lens of the philosophy of law. The methodological basis is formed by participant observation and philosophical-legal analysis drawing on the concept of communicative rationality and the communicative theory of law. Using the monitoring of the elections of deputies of the State Duma of the Federal Assembly of the Russian Federation of the ninth convocation (18–20 September 2026) as an example, the article examines the transformation of the observer’s role from an external controller into a subject of legal communication. Particular attention is paid to the symbolic meaning of transparency procedures (video surveillance, open access to documentation, multi-day voting) as elements of the Russian legal tradition aimed at legitimising public authority through dialogue with the international community. The author shows how contemporary electoral procedures construct legal reality through intersubjective interaction.</w:t>
      </w:r>
    </w:p>
    <w:p>
      <w:pPr>
        <w:spacing w:line="276" w:lineRule="auto"/>
        <w:rPr>
          <w:rFonts w:ascii="Times New Roman" w:hAnsi="Times New Roman" w:cs="Times New Roman"/>
          <w:sz w:val="24"/>
          <w:szCs w:val="24"/>
        </w:rPr>
      </w:pPr>
      <w:r>
        <w:rPr>
          <w:rFonts w:ascii="Times New Roman" w:hAnsi="Times New Roman" w:cs="Times New Roman"/>
          <w:b/>
          <w:sz w:val="24"/>
          <w:szCs w:val="24"/>
          <w:lang w:val="en-US"/>
        </w:rPr>
        <w:t xml:space="preserve">Keywords</w:t>
      </w:r>
      <w:r>
        <w:rPr>
          <w:rFonts w:ascii="Times New Roman" w:hAnsi="Times New Roman" w:cs="Times New Roman"/>
          <w:sz w:val="24"/>
          <w:szCs w:val="24"/>
          <w:lang w:val="en-US"/>
        </w:rPr>
        <w:t xml:space="preserve">: international election observation, State Duma elections, legal tradition, communicative rationality, legitimacy, IPA CIS, legal culture, symbolism of transparency.</w:t>
      </w:r>
    </w:p>
    <w:p>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Введение</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 условиях глобальных социальных трансформаций и цифровизации общественных отношений классические подходы к пониманию избирательного процесса претерпевают существенные изменения. Право перестаёт восприниматься исключительно как система нормативных предписаний, выступая сложной саморазвивающейся системой, в которой ключевую роль играет человек как субъект правовой коммуникации</w:t>
      </w:r>
      <w:r>
        <w:rPr>
          <w:rFonts w:ascii="Times New Roman" w:hAnsi="Times New Roman" w:cs="Times New Roman"/>
          <w:sz w:val="24"/>
          <w:szCs w:val="24"/>
        </w:rPr>
        <w:t xml:space="preserve"> [14]</w:t>
      </w:r>
      <w:r>
        <w:rPr>
          <w:rFonts w:ascii="Times New Roman" w:hAnsi="Times New Roman" w:cs="Times New Roman"/>
          <w:sz w:val="24"/>
          <w:szCs w:val="24"/>
        </w:rPr>
        <w:t xml:space="preserve">. В этом контексте институт международного наблюдения приобретает новое философско-правовое измерение: он становится не просто механизмом внешнего контроля, но формой интерсубъективного диалога, способствующего конструированию правовой реальности</w:t>
      </w:r>
      <w:r>
        <w:rPr>
          <w:rFonts w:ascii="Times New Roman" w:hAnsi="Times New Roman" w:cs="Times New Roman"/>
          <w:sz w:val="24"/>
          <w:szCs w:val="24"/>
        </w:rPr>
        <w:t xml:space="preserve"> [13]</w:t>
      </w:r>
      <w:r>
        <w:rPr>
          <w:rFonts w:ascii="Times New Roman" w:hAnsi="Times New Roman" w:cs="Times New Roman"/>
          <w:sz w:val="24"/>
          <w:szCs w:val="24"/>
        </w:rPr>
        <w:t xml:space="preserve"> и укреплению доверия к избирательным процедурам.</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Актуальность данного исследования обусловлена необходимостью осмысления современного избирательного процесса не только с позиции формального соответствия законодательству, но и через призму философско-правовой рефлексии. </w:t>
      </w:r>
      <w:r>
        <w:rPr>
          <w:rFonts w:ascii="Times New Roman" w:hAnsi="Times New Roman" w:cs="Times New Roman"/>
          <w:sz w:val="24"/>
          <w:szCs w:val="24"/>
        </w:rPr>
        <w:t xml:space="preserve">Выборы</w:t>
      </w:r>
      <w:r>
        <w:rPr>
          <w:rFonts w:ascii="Times New Roman" w:hAnsi="Times New Roman" w:cs="Times New Roman"/>
          <w:sz w:val="24"/>
          <w:szCs w:val="24"/>
        </w:rPr>
        <w:t xml:space="preserve"> в условиях многодневного голосования, цифрового контроля и международного мониторинга представляют собой сложный коммуникативный акт, в котором переплетаются правовые нормы, культурные традиции и социальные ожидания. Целью данной работы является анализ практики международного наблюдения на выборах депутатов Государственной Думы Федерального Собрания Российской Федерации девятого созыва через призму концепции коммуникативной рациональности и российской правовой традиции. Эмпирической базой исследования послужил личный опыт автора в качестве аккредитованного международного наблюдателя от Межпарламентской Ассамблеи государств – участников СНГ (МПА СНГ) </w:t>
      </w:r>
      <w:r>
        <w:rPr>
          <w:rFonts w:ascii="Times New Roman" w:hAnsi="Times New Roman" w:cs="Times New Roman"/>
          <w:sz w:val="24"/>
          <w:szCs w:val="24"/>
        </w:rPr>
        <w:t xml:space="preserve">на избирательном участке № 2098 в г. Санкт-Петербурге</w:t>
      </w:r>
      <w:r>
        <w:rPr>
          <w:rFonts w:ascii="Times New Roman" w:hAnsi="Times New Roman" w:cs="Times New Roman"/>
          <w:sz w:val="24"/>
          <w:szCs w:val="24"/>
        </w:rPr>
        <w:t xml:space="preserve">.</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Теоретико-методологическую основу работы составляют концепция коммуникативной рациональности Ю. Хабермаса, согласно которой легитимность норм достигается в свободном от принуждения дискурсе, ориентированном на взаимопонимание [16; 17], и коммуникативная теория права А. В. Полякова, рассматривающая право как интерсубъективный феномен, существующий через взаимное признание участниками правовой коммуникации своих правомочий и обязанностей [14]. Идея постнеклассической рациональности, перенесённая из философии науки (В. С. Стёпин) в юриспруденцию (И. Л. Честнов), позволяет видеть в правовой реальности не данность, а результат постоянного конструирования и воспроизводства самими субъектами права [13; 15; 18]. Наконец, понятие правовой традиции, разрабатываемое в отечественной юридической науке, в том числе в трудах А. А. Дорской, используется в работе для обозначения устойчивых, воспроизводимых в правовой культуре представлений о должном порядке осуществления власти и о способах его легитимации [11]. Основным методом исследования выступает включённое наблюдение, результаты которого интерпретируются с позиций названных концепций.</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b/>
          <w:sz w:val="24"/>
          <w:szCs w:val="24"/>
        </w:rPr>
        <w:t xml:space="preserve">Правовые основания и статус международного наблюдателя: от контроля к диалогу</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Деятельность международных наблюдателей регламентируется комплексом международных и национальных правовых актов, образующих единую систему нормативного регулирования. К числу международных документов относятся Конвенция СНГ о стандартах демократических выборов, Декларация МПА СНГ о принципах международного наблюдения, а также Рекомендации для международных наблюдателей от Содружества Независимых Государств</w:t>
      </w:r>
      <w:r>
        <w:rPr>
          <w:rFonts w:ascii="Times New Roman" w:hAnsi="Times New Roman" w:cs="Times New Roman"/>
          <w:sz w:val="24"/>
          <w:szCs w:val="24"/>
        </w:rPr>
        <w:t xml:space="preserve"> [6; 7; 8]</w:t>
      </w:r>
      <w:r>
        <w:rPr>
          <w:rFonts w:ascii="Times New Roman" w:hAnsi="Times New Roman" w:cs="Times New Roman"/>
          <w:sz w:val="24"/>
          <w:szCs w:val="24"/>
        </w:rPr>
        <w:t xml:space="preserve">. Национальное законодательство представлено Конституцией Российской Федерации, Федеральным законом «О выборах депутатов Государственной Думы Федерального Собрания Российской Федерации», Указом Президента Российской Федерации о назначении выборов, а также постановлениями Центральной избирательной комиссии Российской Федерации</w:t>
      </w:r>
      <w:r>
        <w:rPr>
          <w:rFonts w:ascii="Times New Roman" w:hAnsi="Times New Roman" w:cs="Times New Roman"/>
          <w:sz w:val="24"/>
          <w:szCs w:val="24"/>
        </w:rPr>
        <w:t xml:space="preserve"> [1; 2; 3; 4]</w:t>
      </w:r>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Однако формальное закрепление статуса наблюдателя не исчерпывает его сущности. </w:t>
      </w:r>
      <w:r>
        <w:rPr>
          <w:rFonts w:ascii="Times New Roman" w:hAnsi="Times New Roman" w:cs="Times New Roman"/>
          <w:sz w:val="24"/>
          <w:szCs w:val="24"/>
        </w:rPr>
        <w:t xml:space="preserve">Аккредитация автора</w:t>
      </w:r>
      <w:r>
        <w:rPr>
          <w:rFonts w:ascii="Times New Roman" w:hAnsi="Times New Roman" w:cs="Times New Roman"/>
          <w:sz w:val="24"/>
          <w:szCs w:val="24"/>
        </w:rPr>
        <w:t xml:space="preserve"> в качестве международного наблюдателя была подтверждена Центральной избирательной комиссией Российской Федерации в порядке, установленном статьёй 34 Федерального закона «О выборах депутатов Государственной Думы Федерального Собрания Российской Федерации» и Разъяснениями ЦИК России [2; 4], что предоставило</w:t>
      </w:r>
      <w:r>
        <w:rPr>
          <w:rFonts w:ascii="Times New Roman" w:hAnsi="Times New Roman" w:cs="Times New Roman"/>
          <w:sz w:val="24"/>
          <w:szCs w:val="24"/>
        </w:rPr>
        <w:t xml:space="preserve"> право осуществлять мониторинг избирательного процесса на территории Российской Федерации. Но что означает этот статус с философско-правовой точки зрения?</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С позиций постнеклассической </w:t>
      </w:r>
      <w:r>
        <w:rPr>
          <w:rFonts w:ascii="Times New Roman" w:hAnsi="Times New Roman" w:cs="Times New Roman"/>
          <w:sz w:val="24"/>
          <w:szCs w:val="24"/>
        </w:rPr>
        <w:t xml:space="preserve">(постклассической) юриспруденции [18]</w:t>
      </w:r>
      <w:r>
        <w:rPr>
          <w:rFonts w:ascii="Times New Roman" w:hAnsi="Times New Roman" w:cs="Times New Roman"/>
          <w:sz w:val="24"/>
          <w:szCs w:val="24"/>
        </w:rPr>
        <w:t xml:space="preserve"> наблюдатель выступает не как пассивный регистратор фактов, а как активный участник правового дискурса. Его присутствие символизирует открытость государства к внешней оценке и готовность к конструктивному взаимодействию. Принципы политической нейтральности, беспристрастности и невмешательства, закреплённые в </w:t>
      </w:r>
      <w:r>
        <w:rPr>
          <w:rFonts w:ascii="Times New Roman" w:hAnsi="Times New Roman" w:cs="Times New Roman"/>
          <w:sz w:val="24"/>
          <w:szCs w:val="24"/>
        </w:rPr>
        <w:t xml:space="preserve">Рекомендациях для международных наблюдателей от СНГ [8] и Разъяснениях ЦИК России [4]</w:t>
      </w:r>
      <w:r>
        <w:rPr>
          <w:rFonts w:ascii="Times New Roman" w:hAnsi="Times New Roman" w:cs="Times New Roman"/>
          <w:sz w:val="24"/>
          <w:szCs w:val="24"/>
        </w:rPr>
        <w:t xml:space="preserve">, обеспечивают условия для формирования рационального консенсуса относительно легитимности избирательного процесса</w:t>
      </w:r>
      <w:r>
        <w:rPr>
          <w:rFonts w:ascii="Times New Roman" w:hAnsi="Times New Roman" w:cs="Times New Roman"/>
          <w:sz w:val="24"/>
          <w:szCs w:val="24"/>
        </w:rPr>
        <w:t xml:space="preserve"> [16]</w:t>
      </w:r>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Важно отметить, что деятельность международного наблюдателя регулируется не только нормами права, но и этическими принципами. </w:t>
      </w:r>
      <w:r>
        <w:rPr>
          <w:rFonts w:ascii="Times New Roman" w:hAnsi="Times New Roman" w:cs="Times New Roman"/>
          <w:sz w:val="24"/>
          <w:szCs w:val="24"/>
        </w:rPr>
        <w:t xml:space="preserve">Согласно </w:t>
      </w:r>
      <w:r>
        <w:rPr>
          <w:rFonts w:ascii="Times New Roman" w:hAnsi="Times New Roman" w:cs="Times New Roman"/>
          <w:sz w:val="24"/>
          <w:szCs w:val="24"/>
        </w:rPr>
        <w:t xml:space="preserve">Разъяснениям ЦИК России</w:t>
      </w:r>
      <w:r>
        <w:rPr>
          <w:rFonts w:ascii="Times New Roman" w:hAnsi="Times New Roman" w:cs="Times New Roman"/>
          <w:sz w:val="24"/>
          <w:szCs w:val="24"/>
        </w:rPr>
        <w:t xml:space="preserve">, воспроизведённым в Памятке для международных наблюдателей от МПА СНГ [4; 9]</w:t>
      </w:r>
      <w:r>
        <w:rPr>
          <w:rFonts w:ascii="Times New Roman" w:hAnsi="Times New Roman" w:cs="Times New Roman"/>
          <w:sz w:val="24"/>
          <w:szCs w:val="24"/>
        </w:rPr>
        <w:t xml:space="preserve">, наблюдатель обязан действовать в соответствии с положениями Конституции Российской Федерации, федеральных законов, постановлениями ЦИК, общепризнанными принципами и нормами международного права. При этом он должен руководствоваться принципами политической нейтральности, беспристрастности, уважения национального суверенитета Российской Федерации, отказа от выражения каких бы то ни было предпочтений по отношению к избирательным комиссиям, органам государственной власти, иным государственным органам и органам местного самоуправления, должностным лицам, участникам избирательного процесса. Таким образом, статус международного наблюдателя представляет собой не просто формальное разрешение на присутствие, но сложную систему прав и обязанностей, направленную на обеспечение прозрачности и легитимности избирательного процесса через диалог и взаимное уважение.</w:t>
      </w:r>
    </w:p>
    <w:p w:rsidR="004241FB" w:rsidRPr="004241FB" w:rsidRDefault="004241FB" w:rsidP="004241FB">
      <w:pPr>
        <w:spacing w:line="276" w:lineRule="auto"/>
        <w:rPr>
          <w:rFonts w:ascii="Times New Roman" w:hAnsi="Times New Roman" w:cs="Times New Roman"/>
          <w:b/>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Символика прозрачности и российская правовая традиция</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Для российской правовой традиции характерно</w:t>
      </w:r>
      <w:r>
        <w:rPr>
          <w:rFonts w:ascii="Times New Roman" w:hAnsi="Times New Roman" w:cs="Times New Roman"/>
          <w:sz w:val="24"/>
          <w:szCs w:val="24"/>
        </w:rPr>
        <w:t xml:space="preserve"> символическое кодирование правовых явлений [12]: легитимность власти должна быть не только нормативно закреплена, но и зримо удостоверена</w:t>
      </w:r>
      <w:r>
        <w:rPr>
          <w:rFonts w:ascii="Times New Roman" w:hAnsi="Times New Roman" w:cs="Times New Roman"/>
          <w:sz w:val="24"/>
          <w:szCs w:val="24"/>
        </w:rPr>
        <w:t xml:space="preserve">. В ходе наблюдения на участке № 2098 было зафиксировано, что технические средства обеспечения прозрачности — системы видеонаблюдения с трансляцией изображения в сеть «Интернет», прозрачные урны, открытый доступ к информационным стендам — выполняют не только утилитарную функцию контроля, но и символическую. Они выступают визуальными маркерами «честности» и «открытости», формируя коллективное представление о справедливости процедуры.</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Видеонаблюдение представляет собой не просто техническое средство фиксации, но технологию конструирования доверия. Оно создаёт </w:t>
      </w:r>
      <w:r>
        <w:rPr>
          <w:rFonts w:ascii="Times New Roman" w:hAnsi="Times New Roman" w:cs="Times New Roman"/>
          <w:sz w:val="24"/>
          <w:szCs w:val="24"/>
        </w:rPr>
        <w:t xml:space="preserve">эффект тотальной видимости</w:t>
      </w:r>
      <w:r>
        <w:rPr>
          <w:rFonts w:ascii="Times New Roman" w:hAnsi="Times New Roman" w:cs="Times New Roman"/>
          <w:sz w:val="24"/>
          <w:szCs w:val="24"/>
        </w:rPr>
        <w:t xml:space="preserve">, при котором каждое действие членов избирательной комиссии становится потенциально наблюдаемым. Это формирует особую атмосферу ответственности и дисциплины, способствующую соблюдению правовых норм. Согласно Федеральному закону «О выборах депутатов Государственной Думы Федерального Собрания Российской Федерации», установку в помещениях для голосования средств видеонаблюдения и трансляции изображения, трансляцию изображения в сети «Интернет», а также хранение соответствующих видеозаписей организует и обеспечивает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w:t>
      </w:r>
      <w:r>
        <w:rPr>
          <w:rFonts w:ascii="Times New Roman" w:hAnsi="Times New Roman" w:cs="Times New Roman"/>
          <w:sz w:val="24"/>
          <w:szCs w:val="24"/>
        </w:rPr>
        <w:t xml:space="preserve"> [2, ст. 78]</w:t>
      </w:r>
      <w:r>
        <w:rPr>
          <w:rFonts w:ascii="Times New Roman" w:hAnsi="Times New Roman" w:cs="Times New Roman"/>
          <w:sz w:val="24"/>
          <w:szCs w:val="24"/>
        </w:rPr>
        <w:t xml:space="preserve">. Важно отметить, что видеонаблюдение не заменяет собой непосредственное присутствие наблюдателей, но дополняет его, создавая многоуровневую систему контроля. </w:t>
      </w:r>
      <w:r>
        <w:rPr>
          <w:rFonts w:ascii="Times New Roman" w:hAnsi="Times New Roman" w:cs="Times New Roman"/>
          <w:sz w:val="24"/>
          <w:szCs w:val="24"/>
        </w:rPr>
        <w:t xml:space="preserve">Сочетание технического и человеческого мониторинга, как представляется,</w:t>
      </w:r>
      <w:r>
        <w:rPr>
          <w:rFonts w:ascii="Times New Roman" w:hAnsi="Times New Roman" w:cs="Times New Roman"/>
          <w:sz w:val="24"/>
          <w:szCs w:val="24"/>
        </w:rPr>
        <w:t xml:space="preserve"> обеспечивает более высокую степень прозрачности, чем каждый из этих элементов по отдельности.</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Информационный стенд участка, содержащий сведения о кандидатах, образцы бюллетеней и выдержки из законодательства, структурирует правовое пространство избирателя, делая его понятным и предсказуемым. Согласно требованиям Федерального закона, на информационном стенде УИК размещает информацию обо всех федеральных списках кандидатов, внесённых в избирательный бюллетень, и о выдвинувших их политических партиях, а также о каждом зарегистрированном кандидате, внесённом в избирательный бюллетень для голосования по соответствующему одномандатному избирательному округу</w:t>
      </w:r>
      <w:r>
        <w:rPr>
          <w:rFonts w:ascii="Times New Roman" w:hAnsi="Times New Roman" w:cs="Times New Roman"/>
          <w:sz w:val="24"/>
          <w:szCs w:val="24"/>
        </w:rPr>
        <w:t xml:space="preserve"> [2, ст. 78]</w:t>
      </w:r>
      <w:r>
        <w:rPr>
          <w:rFonts w:ascii="Times New Roman" w:hAnsi="Times New Roman" w:cs="Times New Roman"/>
          <w:sz w:val="24"/>
          <w:szCs w:val="24"/>
        </w:rPr>
        <w:t xml:space="preserve">. На участке № 2098 информационный стенд был оформлен в полном соответствии с установленными требованиями: на нём размещались наименования политических партий и их эмблемы, фамилии, имена и отчества зарегистрированных кандидатов, биографические данные, сведения о доходах и об имуществе кандидатов, образцы заполненных избирательных бюллетеней, извлечения из уголовного и административного законодательства Российской Федерации, касающиеся ответственности за нарушение законодательства о выборах. Такое информационное наполнение стенда превращает его из простого носителя информации в пространство правовой коммуникации, где абстрактные нормы права становятся конкретными и доступными для понимания. Избиратель получает возможность не только ознакомиться с кандидатами, но и понять правовые последствия своих действий, что способствует осознанному волеизъявлению.</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Стационарные ящики для голосования были изготовлены из прозрачного или полупрозрачного материала в соответствии с нормативами технологического оборудования, утверждёнными ЦИК</w:t>
      </w:r>
      <w:r>
        <w:rPr>
          <w:rFonts w:ascii="Times New Roman" w:hAnsi="Times New Roman" w:cs="Times New Roman"/>
          <w:sz w:val="24"/>
          <w:szCs w:val="24"/>
        </w:rPr>
        <w:t xml:space="preserve"> [2, ст. 78]</w:t>
      </w:r>
      <w:r>
        <w:rPr>
          <w:rFonts w:ascii="Times New Roman" w:hAnsi="Times New Roman" w:cs="Times New Roman"/>
          <w:sz w:val="24"/>
          <w:szCs w:val="24"/>
        </w:rPr>
        <w:t xml:space="preserve">. Это техническое решение имеет глубокое символическое значение: прозрачность урны визуализирует идею открытости и честности избирательного процесса. Согласно процедуре, перед началом голосования председатель УИК предъявляет к осмотру членам УИК, присутствующим избирателям, представителям политических партий и кандидатов, представителям аккредитованных СМИ, национальным и иностранным (международным) наблюдателям пустые переносные и стационарные ящики для голосования, которые затем опечатываются печатью УИК (пломбируются)</w:t>
      </w:r>
      <w:r>
        <w:rPr>
          <w:rFonts w:ascii="Times New Roman" w:hAnsi="Times New Roman" w:cs="Times New Roman"/>
          <w:sz w:val="24"/>
          <w:szCs w:val="24"/>
        </w:rPr>
        <w:t xml:space="preserve"> [9]</w:t>
      </w:r>
      <w:r>
        <w:rPr>
          <w:rFonts w:ascii="Times New Roman" w:hAnsi="Times New Roman" w:cs="Times New Roman"/>
          <w:sz w:val="24"/>
          <w:szCs w:val="24"/>
        </w:rPr>
        <w:t xml:space="preserve">. Эта процедура демонстрирует отсутствие предварительного заполнения урн и создаёт уверенность в чистоте голосования. Таким образом, символика прозрачности в избирательном процессе представляет собой сложную систему визуальных и технических средств, направленных на конструирование доверия и легитимности. Каждый элемент этой системы выполняет не только утилитарную, но и символическую функцию, формируя коллективное представление о справедливости и открытости процедуры.</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Коммуникативная практика на избирательном участке</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Непосредственное взаимодействие с членами участковой избирательной комиссии (УИК) продемонстрировало высокий уровень правовой культуры организаторов выборов. Процедура идентификации личности наблюдателя, предъявление аккредитационного удостоверения и паспорта, установление рабочего контакта с председателем УИК были выполнены в строгом соответствии с регламентом, но при этом носили характер доброжелательного диалога. </w:t>
      </w:r>
      <w:r>
        <w:rPr>
          <w:rFonts w:ascii="Times New Roman" w:hAnsi="Times New Roman" w:cs="Times New Roman"/>
          <w:sz w:val="24"/>
          <w:szCs w:val="24"/>
        </w:rPr>
        <w:t xml:space="preserve">Согласно инструкции </w:t>
      </w:r>
      <w:r>
        <w:rPr>
          <w:rFonts w:ascii="Times New Roman" w:hAnsi="Times New Roman" w:cs="Times New Roman"/>
          <w:sz w:val="24"/>
          <w:szCs w:val="24"/>
        </w:rPr>
        <w:t xml:space="preserve">МИМРД МПА СНГ</w:t>
      </w:r>
      <w:r>
        <w:rPr>
          <w:rFonts w:ascii="Times New Roman" w:hAnsi="Times New Roman" w:cs="Times New Roman"/>
          <w:sz w:val="24"/>
          <w:szCs w:val="24"/>
        </w:rPr>
        <w:t xml:space="preserve">, «по прибытии на избирательный участок следует предъявить указанные документы организаторам выборов, сообщив им, что Вы международный наблюдатель от МПА СНГ» [10]</w:t>
      </w:r>
      <w:r>
        <w:rPr>
          <w:rFonts w:ascii="Times New Roman" w:hAnsi="Times New Roman" w:cs="Times New Roman"/>
          <w:sz w:val="24"/>
          <w:szCs w:val="24"/>
        </w:rPr>
        <w:t xml:space="preserve">. На участке № 2098 эта процедура была выполнена без каких-либо затруднений. Председатель </w:t>
      </w:r>
      <w:r>
        <w:rPr>
          <w:rFonts w:ascii="Times New Roman" w:hAnsi="Times New Roman" w:cs="Times New Roman"/>
          <w:sz w:val="24"/>
          <w:szCs w:val="24"/>
        </w:rPr>
        <w:t xml:space="preserve">и члены УИК</w:t>
      </w:r>
      <w:r>
        <w:rPr>
          <w:rFonts w:ascii="Times New Roman" w:hAnsi="Times New Roman" w:cs="Times New Roman"/>
          <w:sz w:val="24"/>
          <w:szCs w:val="24"/>
        </w:rPr>
        <w:t xml:space="preserve"> проявили высокую степень профессионализма, были открыты к диалогу и своевременно предоставляли всю запрашиваемую информацию, не чиня препятствий в осуществлении наблюдательных функций.</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 ходе наблюдения </w:t>
      </w:r>
      <w:r>
        <w:rPr>
          <w:rFonts w:ascii="Times New Roman" w:hAnsi="Times New Roman" w:cs="Times New Roman"/>
          <w:sz w:val="24"/>
          <w:szCs w:val="24"/>
        </w:rPr>
        <w:t xml:space="preserve">автору</w:t>
      </w:r>
      <w:r>
        <w:rPr>
          <w:rFonts w:ascii="Times New Roman" w:hAnsi="Times New Roman" w:cs="Times New Roman"/>
          <w:sz w:val="24"/>
          <w:szCs w:val="24"/>
        </w:rPr>
        <w:t xml:space="preserve"> удалось установить контакт и провести рабочие беседы с представителями </w:t>
      </w:r>
      <w:r>
        <w:rPr>
          <w:rFonts w:ascii="Times New Roman" w:hAnsi="Times New Roman" w:cs="Times New Roman"/>
          <w:sz w:val="24"/>
          <w:szCs w:val="24"/>
        </w:rPr>
        <w:t xml:space="preserve">трёх участковых избирательных комиссий</w:t>
      </w:r>
      <w:r>
        <w:rPr>
          <w:rFonts w:ascii="Times New Roman" w:hAnsi="Times New Roman" w:cs="Times New Roman"/>
          <w:sz w:val="24"/>
          <w:szCs w:val="24"/>
        </w:rPr>
        <w:t xml:space="preserve">. Взаимодействие носило </w:t>
      </w:r>
      <w:r>
        <w:rPr>
          <w:rFonts w:ascii="Times New Roman" w:hAnsi="Times New Roman" w:cs="Times New Roman"/>
          <w:sz w:val="24"/>
          <w:szCs w:val="24"/>
        </w:rPr>
        <w:t xml:space="preserve">корректный, доброжелательный</w:t>
      </w:r>
      <w:r>
        <w:rPr>
          <w:rFonts w:ascii="Times New Roman" w:hAnsi="Times New Roman" w:cs="Times New Roman"/>
          <w:sz w:val="24"/>
          <w:szCs w:val="24"/>
        </w:rPr>
        <w:t xml:space="preserve"> и конструктивный характер. Члены комиссий продемонстрировали знание регламента и корректность в общении с участниками процесса и наблюдателями. С философско-правовой точки зрения, такой диалог представляет собой не просто формальное соблюдение процедур, но акт коммуникативной рациональности, в котором достигается взаимопонимание и консенсус относительно правил </w:t>
      </w:r>
      <w:r>
        <w:rPr>
          <w:rFonts w:ascii="Times New Roman" w:hAnsi="Times New Roman" w:cs="Times New Roman"/>
          <w:sz w:val="24"/>
          <w:szCs w:val="24"/>
        </w:rPr>
        <w:t xml:space="preserve">взаимодействия [17]</w:t>
      </w:r>
      <w:r>
        <w:rPr>
          <w:rFonts w:ascii="Times New Roman" w:hAnsi="Times New Roman" w:cs="Times New Roman"/>
          <w:sz w:val="24"/>
          <w:szCs w:val="24"/>
        </w:rPr>
        <w:t xml:space="preserve">. Наблюдатель и члены УИК выступают не как оппоненты, а как партнёры в общем деле обеспечения прозрачности и легитимности избирательного процесса.</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На участке </w:t>
      </w:r>
      <w:r>
        <w:rPr>
          <w:rFonts w:ascii="Times New Roman" w:hAnsi="Times New Roman" w:cs="Times New Roman"/>
          <w:sz w:val="24"/>
          <w:szCs w:val="24"/>
        </w:rPr>
        <w:t xml:space="preserve">автору</w:t>
      </w:r>
      <w:r>
        <w:rPr>
          <w:rFonts w:ascii="Times New Roman" w:hAnsi="Times New Roman" w:cs="Times New Roman"/>
          <w:sz w:val="24"/>
          <w:szCs w:val="24"/>
        </w:rPr>
        <w:t xml:space="preserve"> была предоставлена возможность детально ознакомиться с необходимой документацией, включая сведения о числе избирателей, включённых в список на данном участке, данные о количестве выданных избирательных бюллетеней, информацию о работе членов комиссии и ходе голосования. </w:t>
      </w:r>
      <w:r>
        <w:rPr>
          <w:rFonts w:ascii="Times New Roman" w:hAnsi="Times New Roman" w:cs="Times New Roman"/>
          <w:sz w:val="24"/>
          <w:szCs w:val="24"/>
        </w:rPr>
        <w:t xml:space="preserve">Согласно </w:t>
      </w:r>
      <w:r>
        <w:rPr>
          <w:rFonts w:ascii="Times New Roman" w:hAnsi="Times New Roman" w:cs="Times New Roman"/>
          <w:sz w:val="24"/>
          <w:szCs w:val="24"/>
        </w:rPr>
        <w:t xml:space="preserve">Разъяснениям ЦИК России [4]</w:t>
      </w:r>
      <w:r>
        <w:rPr>
          <w:rFonts w:ascii="Times New Roman" w:hAnsi="Times New Roman" w:cs="Times New Roman"/>
          <w:sz w:val="24"/>
          <w:szCs w:val="24"/>
        </w:rPr>
        <w:t xml:space="preserve">, международные наблюдатели вправе иметь доступ ко всем документам (не затрагивающим интересы национальной безопасности и не содержащим информацию конфиденциального характера), регулирующим избирательный процесс по выборам депутатов Государственной Думы, получать от избирательных комиссий необходимую информацию и заверенные копии протоколов УИК и ТИК об итогах голосования, заверенные копии протоколов ИКС и ТИК о результатах выборов по одномандатному избирательному округу и об итогах голосования по федеральному избирательному округу на территории одномандатного избирательного округа. Такая открытость информации создаёт условия для полноценной правовой коммуникации, в которой наблюдатель может не только фиксировать факты, но и понимать их смысл и контекст. Это способствует формированию объективной картины избирательного процесса и повышает степень доверия к его результатам.</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Общая атмосфера на избирательном участке № 2098 </w:t>
      </w:r>
      <w:r>
        <w:rPr>
          <w:rFonts w:ascii="Times New Roman" w:hAnsi="Times New Roman" w:cs="Times New Roman"/>
          <w:sz w:val="24"/>
          <w:szCs w:val="24"/>
        </w:rPr>
        <w:t xml:space="preserve">оценивается</w:t>
      </w:r>
      <w:r>
        <w:rPr>
          <w:rFonts w:ascii="Times New Roman" w:hAnsi="Times New Roman" w:cs="Times New Roman"/>
          <w:sz w:val="24"/>
          <w:szCs w:val="24"/>
        </w:rPr>
        <w:t xml:space="preserve"> как спокойная и деловая</w:t>
      </w:r>
      <w:r>
        <w:rPr>
          <w:rFonts w:ascii="Times New Roman" w:hAnsi="Times New Roman" w:cs="Times New Roman"/>
          <w:sz w:val="24"/>
          <w:szCs w:val="24"/>
        </w:rPr>
        <w:t xml:space="preserve">. Признаков организованного подвоза избирателей, агитации в день голосования или иного давления на волеизъявление граждан зафиксировано не было. Явка избирателей на момент </w:t>
      </w:r>
      <w:r>
        <w:rPr>
          <w:rFonts w:ascii="Times New Roman" w:hAnsi="Times New Roman" w:cs="Times New Roman"/>
          <w:sz w:val="24"/>
          <w:szCs w:val="24"/>
        </w:rPr>
        <w:t xml:space="preserve">наблюдения</w:t>
      </w:r>
      <w:r>
        <w:rPr>
          <w:rFonts w:ascii="Times New Roman" w:hAnsi="Times New Roman" w:cs="Times New Roman"/>
          <w:sz w:val="24"/>
          <w:szCs w:val="24"/>
        </w:rPr>
        <w:t xml:space="preserve"> составила </w:t>
      </w:r>
      <w:r>
        <w:rPr>
          <w:rFonts w:ascii="Times New Roman" w:hAnsi="Times New Roman" w:cs="Times New Roman"/>
          <w:sz w:val="24"/>
          <w:szCs w:val="24"/>
        </w:rPr>
        <w:t xml:space="preserve">около 40–45 процентов</w:t>
      </w:r>
      <w:r>
        <w:rPr>
          <w:rFonts w:ascii="Times New Roman" w:hAnsi="Times New Roman" w:cs="Times New Roman"/>
          <w:sz w:val="24"/>
          <w:szCs w:val="24"/>
        </w:rPr>
        <w:t xml:space="preserve">. Данный показатель является характерным для заключительного дня многодневного голосования и свидетельствует о планомерном, а не хаотичном характере участия граждан в выборах. Избиратели подходили к участку в течение всего дня, процедура получения бюллетеней и голосования проходила без очередей и задержек. Важно отметить, что многодневное голосование (18–20 сентября) позволило снизить пиковые нагрузки </w:t>
      </w:r>
      <w:r>
        <w:rPr>
          <w:rFonts w:ascii="Times New Roman" w:hAnsi="Times New Roman" w:cs="Times New Roman"/>
          <w:sz w:val="24"/>
          <w:szCs w:val="24"/>
        </w:rPr>
        <w:t xml:space="preserve">на участок и распределить поток избирателей более равномерно</w:t>
      </w:r>
      <w:r>
        <w:rPr>
          <w:rFonts w:ascii="Times New Roman" w:hAnsi="Times New Roman" w:cs="Times New Roman"/>
          <w:sz w:val="24"/>
          <w:szCs w:val="24"/>
        </w:rPr>
        <w:t xml:space="preserve">. </w:t>
      </w:r>
      <w:r>
        <w:rPr>
          <w:rFonts w:ascii="Times New Roman" w:hAnsi="Times New Roman" w:cs="Times New Roman"/>
          <w:sz w:val="24"/>
          <w:szCs w:val="24"/>
        </w:rPr>
        <w:t xml:space="preserve">Голосование проводилось в течение трёх дней подряд — 18, 19 и 20 сентября 2026 года — на основании статьи 80.1 Федерального закона и </w:t>
      </w:r>
      <w:r>
        <w:rPr>
          <w:rFonts w:ascii="Times New Roman" w:hAnsi="Times New Roman" w:cs="Times New Roman"/>
          <w:sz w:val="24"/>
          <w:szCs w:val="24"/>
        </w:rPr>
        <w:t xml:space="preserve">постановления ЦИК России от 17 июня 2026 года № 9/90-9</w:t>
      </w:r>
      <w:r>
        <w:rPr>
          <w:rFonts w:ascii="Times New Roman" w:hAnsi="Times New Roman" w:cs="Times New Roman"/>
          <w:sz w:val="24"/>
          <w:szCs w:val="24"/>
        </w:rPr>
        <w:t xml:space="preserve"> [2; 5] в порядке, установленном Положением об особенностях голосования, установления итогов голосования в случае принятия решения о проведении голосования на выборах, референдумах в течение нескольких дней подряд (постановление ЦИК России от 8 июня 2022 года № 86/718-8) [9]</w:t>
      </w:r>
      <w:r>
        <w:rPr>
          <w:rFonts w:ascii="Times New Roman" w:hAnsi="Times New Roman" w:cs="Times New Roman"/>
          <w:sz w:val="24"/>
          <w:szCs w:val="24"/>
        </w:rPr>
        <w:t xml:space="preserve">. Такое решение </w:t>
      </w:r>
      <w:r>
        <w:rPr>
          <w:rFonts w:ascii="Times New Roman" w:hAnsi="Times New Roman" w:cs="Times New Roman"/>
          <w:sz w:val="24"/>
          <w:szCs w:val="24"/>
        </w:rPr>
        <w:t xml:space="preserve">направлено на повышение доступности голосования для избирателей</w:t>
      </w:r>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b/>
          <w:sz w:val="24"/>
          <w:szCs w:val="24"/>
        </w:rPr>
        <w:t xml:space="preserve">Легитимация через прозрачность: выводы из практики наблюдения</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 ходе мониторинга не было выявлено нарушений, ставящих под сомнение результаты голосования. Все процедуры — от выдачи бюллетеней до их размещения в стационарных ящиках — осуществлялись публично и гласно. Видеонаблюдение, охватывающее </w:t>
      </w:r>
      <w:r>
        <w:rPr>
          <w:rFonts w:ascii="Times New Roman" w:hAnsi="Times New Roman" w:cs="Times New Roman"/>
          <w:sz w:val="24"/>
          <w:szCs w:val="24"/>
        </w:rPr>
        <w:t xml:space="preserve">ключевые зоны участка, </w:t>
      </w:r>
      <w:r>
        <w:rPr>
          <w:rFonts w:ascii="Times New Roman" w:hAnsi="Times New Roman" w:cs="Times New Roman"/>
          <w:sz w:val="24"/>
          <w:szCs w:val="24"/>
        </w:rPr>
        <w:t xml:space="preserve">существенно ограничивало возможность скрытых манипуляций</w:t>
      </w:r>
      <w:r>
        <w:rPr>
          <w:rFonts w:ascii="Times New Roman" w:hAnsi="Times New Roman" w:cs="Times New Roman"/>
          <w:sz w:val="24"/>
          <w:szCs w:val="24"/>
        </w:rPr>
        <w:t xml:space="preserve">, что иллюстрирует тезис о конструировании правовой реальности через видимые, верифицируемые действия субъектов [13; 18]</w:t>
      </w:r>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По результатам наблюдения можно констатировать</w:t>
      </w:r>
      <w:r>
        <w:rPr>
          <w:rFonts w:ascii="Times New Roman" w:hAnsi="Times New Roman" w:cs="Times New Roman"/>
          <w:sz w:val="24"/>
          <w:szCs w:val="24"/>
        </w:rPr>
        <w:t xml:space="preserve">, что голосование на посещённом участке проходило в строгом соответствии с законодательством Российской Федерации. Были соблюдены все ключевые демократические принципы, закреплённые как в национальном законодательстве, так и в международных стандартах Содружества Независимых Государств. Равное избирательное право проявилось в том, что каждый избиратель имел один голос и равные возможности для его реализации. Процедура идентификации личности и проверки включения в список избирателей проводилась единообразно для всех граждан. Согласно Федеральному закону, избирательные бюллетени выдаются избирателям, включённым в список избирателей, по предъявлении паспорта или документа, заменяющего паспорт гражданина</w:t>
      </w:r>
      <w:r>
        <w:rPr>
          <w:rFonts w:ascii="Times New Roman" w:hAnsi="Times New Roman" w:cs="Times New Roman"/>
          <w:sz w:val="24"/>
          <w:szCs w:val="24"/>
        </w:rPr>
        <w:t xml:space="preserve"> [2, ст. 81]</w:t>
      </w:r>
      <w:r>
        <w:rPr>
          <w:rFonts w:ascii="Times New Roman" w:hAnsi="Times New Roman" w:cs="Times New Roman"/>
          <w:sz w:val="24"/>
          <w:szCs w:val="24"/>
        </w:rPr>
        <w:t xml:space="preserve">. Прямое голосование выражалось в том, что избиратели голосовали за кандидатов и партийные списки непосредственно, без каких-либо промежуточных инстанций. Каждый гражданин лично принимал решение о своём волеизъявлении. </w:t>
      </w:r>
      <w:r>
        <w:rPr>
          <w:rFonts w:ascii="Times New Roman" w:hAnsi="Times New Roman" w:cs="Times New Roman"/>
          <w:sz w:val="24"/>
          <w:szCs w:val="24"/>
        </w:rPr>
        <w:t xml:space="preserve">Согласно закону, голосование</w:t>
      </w:r>
      <w:r>
        <w:rPr>
          <w:rFonts w:ascii="Times New Roman" w:hAnsi="Times New Roman" w:cs="Times New Roman"/>
          <w:sz w:val="24"/>
          <w:szCs w:val="24"/>
        </w:rPr>
        <w:t xml:space="preserve"> проводится путём внесения избирателем в избирательные бюллетени любого знака: в бюллетене для голосования по федеральному избирательному округу — в квадрат, относящийся к федеральному списку кандидатов, в пользу которого сделан выбор; в бюллетене для голосования по одномандатному избирательному округу — в квадрат, относящийся к кандидату, в пользу которого сделан выбор</w:t>
      </w:r>
      <w:r>
        <w:rPr>
          <w:rFonts w:ascii="Times New Roman" w:hAnsi="Times New Roman" w:cs="Times New Roman"/>
          <w:sz w:val="24"/>
          <w:szCs w:val="24"/>
        </w:rPr>
        <w:t xml:space="preserve"> [2, ст. 81]</w:t>
      </w:r>
      <w:r>
        <w:rPr>
          <w:rFonts w:ascii="Times New Roman" w:hAnsi="Times New Roman" w:cs="Times New Roman"/>
          <w:sz w:val="24"/>
          <w:szCs w:val="24"/>
        </w:rPr>
        <w:t xml:space="preserve">. Тайное голосование гарантировалось оборудованием участка, наличием специально оборудованных кабин для заполнения бюллетеней и отсутствием посторонних лиц в момент волеизъявления. </w:t>
      </w:r>
      <w:r>
        <w:rPr>
          <w:rFonts w:ascii="Times New Roman" w:hAnsi="Times New Roman" w:cs="Times New Roman"/>
          <w:sz w:val="24"/>
          <w:szCs w:val="24"/>
        </w:rPr>
        <w:t xml:space="preserve">Закон требует, чтобы избирательные бюллетени заполнялись в кабине или ином специально оборудованном месте для тайного голосования, где присутствие других лиц недопустимо [2, ст. 81]</w:t>
      </w:r>
      <w:r>
        <w:rPr>
          <w:rFonts w:ascii="Times New Roman" w:hAnsi="Times New Roman" w:cs="Times New Roman"/>
          <w:sz w:val="24"/>
          <w:szCs w:val="24"/>
        </w:rPr>
        <w:t xml:space="preserve">. Добровольность участия проявилась в том, что никто из избирателей не подвергался принуждению или давлению. Все граждане принимали решение о голосовании самостоятельно и свободно. Согласно Федеральному закону, участие гражданина Российской Федерации в выборах является свободным и добровольным. Никто не вправе принуждать гражданина Российской Федерации к участию или неучастию в выборах, а также препятствовать его свободному волеизъявлению</w:t>
      </w:r>
      <w:r>
        <w:rPr>
          <w:rFonts w:ascii="Times New Roman" w:hAnsi="Times New Roman" w:cs="Times New Roman"/>
          <w:sz w:val="24"/>
          <w:szCs w:val="24"/>
        </w:rPr>
        <w:t xml:space="preserve"> [2, ст. 1]</w:t>
      </w:r>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В период присутствия автора на участке</w:t>
      </w:r>
      <w:r>
        <w:rPr>
          <w:rFonts w:ascii="Times New Roman" w:hAnsi="Times New Roman" w:cs="Times New Roman"/>
          <w:sz w:val="24"/>
          <w:szCs w:val="24"/>
        </w:rPr>
        <w:t xml:space="preserve"> нарушений избирательного законодательства, препятствующих нормальному ходу голосования, не выявлено; процедуры выполнялись последовательно и в соответствии с регламентом. Отсутствие нарушений на наблюдаемом участке — значимый показатель качества организации голосования, хотя он, разумеется, не позволяет экстраполировать вывод на избирательную кампанию в целом.</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Присутствие международного наблюдателя от МПА СНГ стало элементом международной правовой коммуникации, подтверждающим соответствие российского избирательного процесса не только внутренним стандартам, но и ожиданиям международного сообщества в рамках Содружества Независимых Государств. Согласно статье 15 Конвенции о стандартах демократических выборов, присутствие международных наблюдателей способствует открытости и гласности выборов, соблюдению международных обязательств государств</w:t>
      </w:r>
      <w:r>
        <w:rPr>
          <w:rFonts w:ascii="Times New Roman" w:hAnsi="Times New Roman" w:cs="Times New Roman"/>
          <w:sz w:val="24"/>
          <w:szCs w:val="24"/>
        </w:rPr>
        <w:t xml:space="preserve"> [6]</w:t>
      </w:r>
      <w:r>
        <w:rPr>
          <w:rFonts w:ascii="Times New Roman" w:hAnsi="Times New Roman" w:cs="Times New Roman"/>
          <w:sz w:val="24"/>
          <w:szCs w:val="24"/>
        </w:rPr>
        <w:t xml:space="preserve">. </w:t>
      </w:r>
      <w:r>
        <w:rPr>
          <w:rFonts w:ascii="Times New Roman" w:hAnsi="Times New Roman" w:cs="Times New Roman"/>
          <w:sz w:val="24"/>
          <w:szCs w:val="24"/>
        </w:rPr>
        <w:t xml:space="preserve">В ходе мониторинга на участке № 2098 этот принцип получил практическое воплощение</w:t>
      </w:r>
      <w:r>
        <w:rPr>
          <w:rFonts w:ascii="Times New Roman" w:hAnsi="Times New Roman" w:cs="Times New Roman"/>
          <w:sz w:val="24"/>
          <w:szCs w:val="24"/>
        </w:rPr>
        <w:t xml:space="preserve">. С философско-правовой точки зрения, международный наблюдатель выступает не просто как внешний контролёр, но как </w:t>
      </w:r>
      <w:r>
        <w:rPr>
          <w:rFonts w:ascii="Times New Roman" w:hAnsi="Times New Roman" w:cs="Times New Roman"/>
          <w:sz w:val="24"/>
          <w:szCs w:val="24"/>
        </w:rPr>
        <w:t xml:space="preserve">один из субъектов конструирования правовой реальности [13]</w:t>
      </w:r>
      <w:r>
        <w:rPr>
          <w:rFonts w:ascii="Times New Roman" w:hAnsi="Times New Roman" w:cs="Times New Roman"/>
          <w:sz w:val="24"/>
          <w:szCs w:val="24"/>
        </w:rPr>
        <w:t xml:space="preserve">. Его присутствие и оценка придают процедуре дополнительный уровень легитимности, подтверждая её соответствие международным стандартам. Это особенно важно в условиях глобализации, когда национальные правовые системы всё больше интегрируются в международное правовое пространство.</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Заключение</w:t>
      </w:r>
    </w:p>
    <w:p w:rsid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Опыт участия в наблюдении за выборами </w:t>
      </w:r>
      <w:r>
        <w:rPr>
          <w:rFonts w:ascii="Times New Roman" w:hAnsi="Times New Roman" w:cs="Times New Roman"/>
          <w:sz w:val="24"/>
          <w:szCs w:val="24"/>
        </w:rPr>
        <w:t xml:space="preserve">депутатов Государственной Думы</w:t>
      </w:r>
      <w:r>
        <w:rPr>
          <w:rFonts w:ascii="Times New Roman" w:hAnsi="Times New Roman" w:cs="Times New Roman"/>
          <w:sz w:val="24"/>
          <w:szCs w:val="24"/>
        </w:rPr>
        <w:t xml:space="preserve"> девятого созыва позволяет сделать ряд важных выводов. Современный избирательный процесс в России представляет собой сложную коммуникативную систему, в которой переплетаются правовые нормы, культурные традиции и социальные ожидания. Институт международного наблюдения выполняет функцию не столько внешнего аудита, сколько механизма легитимации власти через демонстрацию прозрачности и соблюдение правовых традиций. Символика прозрачности — видеонаблюдение, информационные стенды, прозрачные урны — играет ключевую роль в конструировании доверия к избирательному процессу. Эти технические и визуальные средства создают эффект тотальной видимости, способствующий соблюдению правовых норм и формированию коллективного представления о справедливости процедуры.</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Коммуникативная практика на избирательном участке демонстрирует высокий уровень правовой культуры как организаторов выборов, так и избирателей. Диалог между наблюдателем и членами УИК, открытый доступ к информации, спокойная атмосфера голосования — всё это </w:t>
      </w:r>
      <w:r>
        <w:rPr>
          <w:rFonts w:ascii="Times New Roman" w:hAnsi="Times New Roman" w:cs="Times New Roman"/>
          <w:sz w:val="24"/>
          <w:szCs w:val="24"/>
        </w:rPr>
        <w:t xml:space="preserve">характеризует избирательный процесс на наблюдаемом участке как коммуникативно открытый</w:t>
      </w:r>
      <w:r>
        <w:rPr>
          <w:rFonts w:ascii="Times New Roman" w:hAnsi="Times New Roman" w:cs="Times New Roman"/>
          <w:sz w:val="24"/>
          <w:szCs w:val="24"/>
        </w:rPr>
        <w:t xml:space="preserve">. Многодневное голосование представляет собой </w:t>
      </w:r>
      <w:r>
        <w:rPr>
          <w:rFonts w:ascii="Times New Roman" w:hAnsi="Times New Roman" w:cs="Times New Roman"/>
          <w:sz w:val="24"/>
          <w:szCs w:val="24"/>
        </w:rPr>
        <w:t xml:space="preserve">сравнительно новую</w:t>
      </w:r>
      <w:r>
        <w:rPr>
          <w:rFonts w:ascii="Times New Roman" w:hAnsi="Times New Roman" w:cs="Times New Roman"/>
          <w:sz w:val="24"/>
          <w:szCs w:val="24"/>
        </w:rPr>
        <w:t xml:space="preserve"> процедуру, направленную на повышение доступности выборов и снижение нагрузки на избирательные участки. Это решение </w:t>
      </w:r>
      <w:r>
        <w:rPr>
          <w:rFonts w:ascii="Times New Roman" w:hAnsi="Times New Roman" w:cs="Times New Roman"/>
          <w:sz w:val="24"/>
          <w:szCs w:val="24"/>
        </w:rPr>
        <w:t xml:space="preserve">направлено на обеспечение доступности реализации избирательных прав граждан, гарантированных </w:t>
      </w:r>
      <w:r>
        <w:rPr>
          <w:rFonts w:ascii="Times New Roman" w:hAnsi="Times New Roman" w:cs="Times New Roman"/>
          <w:sz w:val="24"/>
          <w:szCs w:val="24"/>
        </w:rPr>
        <w:t xml:space="preserve">статьёй 32 Конституции Российской Федерации</w:t>
      </w:r>
      <w:r>
        <w:rPr>
          <w:rFonts w:ascii="Times New Roman" w:hAnsi="Times New Roman" w:cs="Times New Roman"/>
          <w:sz w:val="24"/>
          <w:szCs w:val="24"/>
        </w:rPr>
        <w:t xml:space="preserve"> [1]</w:t>
      </w:r>
      <w:r>
        <w:rPr>
          <w:rFonts w:ascii="Times New Roman" w:hAnsi="Times New Roman" w:cs="Times New Roman"/>
          <w:sz w:val="24"/>
          <w:szCs w:val="24"/>
        </w:rPr>
        <w:t xml:space="preserve">.</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Переход к постнеклассической рациональности в праве требует от исследователей и практиков внимания не только к нормативной базе, но и к тем смысловым конструктам, которые формируются в процессе взаимодействия субъектов права. Прозрачность, открытость и диалог становятся </w:t>
      </w:r>
      <w:r>
        <w:rPr>
          <w:rFonts w:ascii="Times New Roman" w:hAnsi="Times New Roman" w:cs="Times New Roman"/>
          <w:sz w:val="24"/>
          <w:szCs w:val="24"/>
        </w:rPr>
        <w:t xml:space="preserve">новыми </w:t>
      </w:r>
      <w:r>
        <w:rPr>
          <w:rFonts w:ascii="Times New Roman" w:hAnsi="Times New Roman" w:cs="Times New Roman"/>
          <w:sz w:val="24"/>
          <w:szCs w:val="24"/>
        </w:rPr>
        <w:t xml:space="preserve">символическими опорами легитимности</w:t>
      </w:r>
      <w:r>
        <w:rPr>
          <w:rFonts w:ascii="Times New Roman" w:hAnsi="Times New Roman" w:cs="Times New Roman"/>
          <w:sz w:val="24"/>
          <w:szCs w:val="24"/>
        </w:rPr>
        <w:t xml:space="preserve"> в российской правовой традиции, вытесняя</w:t>
      </w:r>
      <w:r>
        <w:rPr>
          <w:rFonts w:ascii="Times New Roman" w:hAnsi="Times New Roman" w:cs="Times New Roman"/>
          <w:sz w:val="24"/>
          <w:szCs w:val="24"/>
        </w:rPr>
        <w:t xml:space="preserve"> модели закрытости и недоверия. Дальнейшее развитие института наблюдения должно быть направлено на углубление этого диалога и интеграцию лучших практик в национальную правовую культуру.</w:t>
      </w:r>
      <w:r>
        <w:rPr>
          <w:rFonts w:ascii="Times New Roman" w:hAnsi="Times New Roman" w:cs="Times New Roman"/>
          <w:sz w:val="24"/>
          <w:szCs w:val="24"/>
        </w:rPr>
        <w:t xml:space="preserve"> Таким образом, международное наблюдение может быть описано в терминах коммуникативной рациональности как процедура, в которой легитимность выборов не просто констатируется извне, а вырабатывается в диалоге организаторов выборов, избирателей и наблюдателей.</w:t>
      </w:r>
      <w:r>
        <w:rPr>
          <w:rFonts w:ascii="Times New Roman" w:hAnsi="Times New Roman" w:cs="Times New Roman"/>
          <w:sz w:val="24"/>
          <w:szCs w:val="24"/>
        </w:rPr>
        <w:t xml:space="preserve"> Опыт участия в наблюдении за выборами депутатов Государственной Думы Российской Федерации девятого созыва </w:t>
      </w:r>
      <w:r>
        <w:rPr>
          <w:rFonts w:ascii="Times New Roman" w:hAnsi="Times New Roman" w:cs="Times New Roman"/>
          <w:sz w:val="24"/>
          <w:szCs w:val="24"/>
        </w:rPr>
        <w:t xml:space="preserve">свидетельствует о востребованности механизмов международного мониторинга и о важности</w:t>
      </w:r>
      <w:r>
        <w:rPr>
          <w:rFonts w:ascii="Times New Roman" w:hAnsi="Times New Roman" w:cs="Times New Roman"/>
          <w:sz w:val="24"/>
          <w:szCs w:val="24"/>
        </w:rPr>
        <w:t xml:space="preserve"> дальнейшего развития сотрудничества в сфере наблюдения за демократическими процедурами в рамках Содружества Независимых Государств.</w:t>
      </w:r>
    </w:p>
    <w:p w:rsidR="004241FB" w:rsidRPr="004241FB" w:rsidRDefault="004241FB" w:rsidP="004241FB">
      <w:pPr>
        <w:spacing w:line="276" w:lineRule="auto"/>
        <w:rPr>
          <w:rFonts w:ascii="Times New Roman" w:hAnsi="Times New Roman" w:cs="Times New Roman"/>
          <w:sz w:val="24"/>
          <w:szCs w:val="24"/>
        </w:rPr>
      </w:pPr>
    </w:p>
    <w:p w:rsidR="004241FB" w:rsidRPr="004241FB" w:rsidRDefault="004241FB" w:rsidP="004241FB">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Список литературы</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1. Конституция Российской Федерации: принята всенародным голосованием 12 декабря 1993 года с изменениями, одобренными в ходе общероссийского голосования 1 июля 2020 года // Официальный интернет-портал правовой информации. URL: http://publication.pravo.gov.ru/document/0001202210060013.</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2. О выборах депутатов Государственной Думы Федерального Собрания Российской Федерации: Федеральный закон от 22 февраля 2014 года № 20-ФЗ (ред. от 02.05.2026) // Официальный интернет-портал правовой информации. URL: http://pravo.gov.ru/proxy/ips/?docbody=&amp;nd=102171479.</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3. О назначении выборов депутатов Государственной Думы Федерального Собрания Российской Федерации нового созыва: Указ Президента Российской Федерации от 16 июня 2026 года № 428 // Официальный интернет-портал правовой информации. URL: http://publication.pravo.gov.ru/document/0001202606160001.</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4. О Разъяснениях порядка деятельности иностранных (международных) наблюдателей при проведении выборов депутатов Государственной Думы Федерального Собрания Российской Федерации девятого созыва: постановление Центральной избирательной комиссии Российской Федерации от 24 июня 2026 года № 10/109-9 // Центральная избирательная комиссия Российской Федерации. URL: http://www.cikrf.ru/activity/docs/postanovleniya/58747/.</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5. О проведении голосования на выборах депутатов Государственной Думы Федерального Собрания Российской Федерации девятого созыва и иных совмещённых с ними выборах и референдумах, назначенных на 20 сентября 2026 года, в течение нескольких дней подряд: постановление Центральной избирательной комиссии Российской Федерации от 17 июня 2026 года № 9/90-9 // Центральная избирательная комиссия Российской Федерации. URL: http://www.cikrf.ru/ (дата обращения: указать).</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6</w:t>
      </w:r>
      <w:r>
        <w:rPr>
          <w:rFonts w:ascii="Times New Roman" w:hAnsi="Times New Roman" w:cs="Times New Roman"/>
          <w:sz w:val="24"/>
          <w:szCs w:val="24"/>
        </w:rPr>
        <w:t xml:space="preserve">. Конвенция о стандартах демократических выборов, избирательных прав и свобод в государствах — участниках Содружества Независимых Государств от 7 октября 2002 года // Исполнительный комитет Содружества Независимых Государств. URL: https://cis.minsk.by/page/616.</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7</w:t>
      </w:r>
      <w:r>
        <w:rPr>
          <w:rFonts w:ascii="Times New Roman" w:hAnsi="Times New Roman" w:cs="Times New Roman"/>
          <w:sz w:val="24"/>
          <w:szCs w:val="24"/>
        </w:rPr>
        <w:t xml:space="preserve">. Декларация </w:t>
      </w:r>
      <w:r>
        <w:rPr>
          <w:rFonts w:ascii="Times New Roman" w:hAnsi="Times New Roman" w:cs="Times New Roman"/>
          <w:sz w:val="24"/>
          <w:szCs w:val="24"/>
        </w:rPr>
        <w:t xml:space="preserve">Межпарламентской</w:t>
      </w:r>
      <w:r>
        <w:rPr>
          <w:rFonts w:ascii="Times New Roman" w:hAnsi="Times New Roman" w:cs="Times New Roman"/>
          <w:sz w:val="24"/>
          <w:szCs w:val="24"/>
        </w:rPr>
        <w:t xml:space="preserve"> Ассамблеи государств — участников Содружества Независимых Государств от 25 ноября 2008 года «О принципах международного наблюдения за выборами и референдумами в государствах — участниках Содружества Независимых Государств» // Межпарламентская Ассамблея государств — участников Содружества Независимых Государств. URL: https://iacis.ru/public/upload/files/1/777.pdf.</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8</w:t>
      </w:r>
      <w:r>
        <w:rPr>
          <w:rFonts w:ascii="Times New Roman" w:hAnsi="Times New Roman" w:cs="Times New Roman"/>
          <w:sz w:val="24"/>
          <w:szCs w:val="24"/>
        </w:rPr>
        <w:t xml:space="preserve">. Рекомендации для международных наблюдателей от Содружества Независимых Государств по наблюдению за выборами и </w:t>
      </w:r>
      <w:r>
        <w:rPr>
          <w:rFonts w:ascii="Times New Roman" w:hAnsi="Times New Roman" w:cs="Times New Roman"/>
          <w:sz w:val="24"/>
          <w:szCs w:val="24"/>
        </w:rPr>
        <w:t xml:space="preserve">референдумами</w:t>
      </w:r>
      <w:r>
        <w:rPr>
          <w:rFonts w:ascii="Times New Roman" w:hAnsi="Times New Roman" w:cs="Times New Roman"/>
          <w:sz w:val="24"/>
          <w:szCs w:val="24"/>
        </w:rPr>
        <w:t xml:space="preserve"> (новая редакция) // Межпарламентская Ассамблея государств — участников Содружества Независимых Государств. URL: https://iacis.ru/public/upload/files/2/1044.pdf.</w:t>
      </w:r>
    </w:p>
    <w:p w:rsidR="004241FB"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9</w:t>
      </w:r>
      <w:r>
        <w:rPr>
          <w:rFonts w:ascii="Times New Roman" w:hAnsi="Times New Roman" w:cs="Times New Roman"/>
          <w:sz w:val="24"/>
          <w:szCs w:val="24"/>
        </w:rPr>
        <w:t xml:space="preserve">. Памятка для международных наблюдателей от МПА СНГ на выборах депутатов Государственной Думы Федерального Собрания Российской Федерации девятого созыва 18–20 сентября 2026 </w:t>
      </w:r>
      <w:r>
        <w:rPr>
          <w:rFonts w:ascii="Times New Roman" w:hAnsi="Times New Roman" w:cs="Times New Roman"/>
          <w:sz w:val="24"/>
          <w:szCs w:val="24"/>
        </w:rPr>
        <w:t xml:space="preserve">года: методическое пособие / авт.-сост. Е. В. Еременко [и др.]; под общ. ред. Д. А. Кобицкого, И. И. Мушкета</w:t>
      </w:r>
      <w:r>
        <w:rPr>
          <w:rFonts w:ascii="Times New Roman" w:hAnsi="Times New Roman" w:cs="Times New Roman"/>
          <w:sz w:val="24"/>
          <w:szCs w:val="24"/>
        </w:rPr>
        <w:t xml:space="preserve">. СПб.: МИМРД МПА СНГ, 2026.</w:t>
      </w:r>
    </w:p>
    <w:p w:rsidR="000849AF" w:rsidRPr="004241FB" w:rsidRDefault="004241FB" w:rsidP="004241FB">
      <w:pPr>
        <w:spacing w:line="276" w:lineRule="auto"/>
        <w:rPr>
          <w:rFonts w:ascii="Times New Roman" w:hAnsi="Times New Roman" w:cs="Times New Roman"/>
          <w:sz w:val="24"/>
          <w:szCs w:val="24"/>
        </w:rPr>
      </w:pPr>
      <w:r>
        <w:rPr>
          <w:rFonts w:ascii="Times New Roman" w:hAnsi="Times New Roman" w:cs="Times New Roman"/>
          <w:sz w:val="24"/>
          <w:szCs w:val="24"/>
        </w:rPr>
        <w:t xml:space="preserve">10</w:t>
      </w:r>
      <w:r>
        <w:rPr>
          <w:rFonts w:ascii="Times New Roman" w:hAnsi="Times New Roman" w:cs="Times New Roman"/>
          <w:sz w:val="24"/>
          <w:szCs w:val="24"/>
        </w:rPr>
        <w:t xml:space="preserve">. </w:t>
      </w:r>
      <w:r>
        <w:rPr>
          <w:rFonts w:ascii="Times New Roman" w:hAnsi="Times New Roman" w:cs="Times New Roman"/>
          <w:sz w:val="24"/>
          <w:szCs w:val="24"/>
        </w:rPr>
        <w:t xml:space="preserve">Информация о порядке наблюдения</w:t>
      </w:r>
      <w:r>
        <w:rPr>
          <w:rFonts w:ascii="Times New Roman" w:hAnsi="Times New Roman" w:cs="Times New Roman"/>
          <w:sz w:val="24"/>
          <w:szCs w:val="24"/>
        </w:rPr>
        <w:t xml:space="preserve"> за голосованием на зарубежном избирательном участке (инструкция): направлена МИМРД МПА СНГ международным наблюдателям на выборах депутатов Государственной Думы Федерального Собрания Российской Федерации девятого созыва 18–20 сентября 2026 года. СПб., 2026 (архив автора)</w:t>
      </w:r>
      <w:r>
        <w:rPr>
          <w:rFonts w:ascii="Times New Roman" w:hAnsi="Times New Roman" w:cs="Times New Roman"/>
          <w:sz w:val="24"/>
          <w:szCs w:val="24"/>
        </w:rPr>
        <w:t xml:space="preserve">.</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11. Дорская А. А. Основные этапы формирования государственно-правовой традиции в России // Вестник Саратовской государственной юридической академии. 2016. № 2 (109). С. 31–36.</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12. Исаев И. А. Символизм правовой формы (историческая перспектива) // Правоведение. 2002. № 6. С. 4–10.</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13. Максимов С. И. Правовая реальность: опыт философского осмысления. Харьков: Право, 2002. 328 с.</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14. Поляков А. В. Коммуникативное правопонимание: избранные труды. СПб.: Алеф-Пресс, 2014. 575 с.</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15. Стёпин В. С. Классика, неклассика, постнеклассика: критерии различения // Постнеклассика: философия, наука, культура. СПб.: Мiръ, 2009. С. 249–295.</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16. Хабермас Ю. Моральное сознание и коммуникативное действие / пер. с нем. под ред. Д. В. Скляднева. СПб.: Наука, 2000. 380 с.</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17. Хабермас Ю. Теория коммуникативной деятельности: в 2 т. / пер. с нем. А. К. Судакова. М.: Весь Мир, 2022. 880 с.</w:t>
      </w:r>
    </w:p>
    <w:p>
      <w:pPr>
        <w:spacing w:line="276" w:lineRule="auto"/>
        <w:rPr>
          <w:rFonts w:ascii="Times New Roman" w:hAnsi="Times New Roman" w:cs="Times New Roman"/>
          <w:sz w:val="24"/>
          <w:szCs w:val="24"/>
        </w:rPr>
      </w:pPr>
      <w:r>
        <w:rPr>
          <w:rFonts w:ascii="Times New Roman" w:hAnsi="Times New Roman" w:cs="Times New Roman"/>
          <w:sz w:val="24"/>
          <w:szCs w:val="24"/>
        </w:rPr>
        <w:t xml:space="preserve">18. Честнов И. Л. Постклассическая теория права. СПб.: Алеф-Пресс, 2012. 650 с.</w:t>
      </w:r>
    </w:p>
    <w:sectPr w:rsidR="000849AF" w:rsidRPr="004241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1FB"/>
    <w:rsid w:val="00244C69"/>
    <w:rsid w:val="004241FB"/>
    <w:rsid w:val="00C653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7429"/>
  <w15:chartTrackingRefBased/>
  <w15:docId w15:val="{4716D3AC-E40B-44C1-816F-177C521EA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3485</Words>
  <Characters>19865</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2026-09-30T10:55:00Z</dcterms:created>
  <dcterms:modified xsi:type="dcterms:W3CDTF">2026-09-30T11:02:00Z</dcterms:modified>
</cp:coreProperties>
</file>