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right"/>
      </w:pPr>
      <w:r>
        <w:rPr>
          <w:b/>
          <w:i w:val="0"/>
          <w:sz w:val="28"/>
        </w:rPr>
        <w:t>Маманазаров Э. Б.</w:t>
      </w:r>
    </w:p>
    <w:p>
      <w:pPr>
        <w:spacing w:line="360" w:lineRule="auto" w:before="0" w:after="0"/>
        <w:ind w:firstLine="0"/>
        <w:jc w:val="right"/>
      </w:pPr>
      <w:r>
        <w:rPr>
          <w:b w:val="0"/>
          <w:i w:val="0"/>
          <w:sz w:val="28"/>
        </w:rPr>
        <w:t>Российский государственный педагогический университет</w:t>
      </w:r>
    </w:p>
    <w:p>
      <w:pPr>
        <w:spacing w:line="360" w:lineRule="auto" w:before="0" w:after="0"/>
        <w:ind w:firstLine="0"/>
        <w:jc w:val="right"/>
      </w:pPr>
      <w:r>
        <w:rPr>
          <w:b w:val="0"/>
          <w:i w:val="0"/>
          <w:sz w:val="28"/>
        </w:rPr>
        <w:t>имени А. И. Герцена, Россия</w:t>
      </w:r>
    </w:p>
    <w:p>
      <w:pPr>
        <w:spacing w:line="360" w:lineRule="auto" w:before="0" w:after="240"/>
        <w:ind w:firstLine="0"/>
        <w:jc w:val="right"/>
      </w:pPr>
      <w:r>
        <w:rPr>
          <w:b w:val="0"/>
          <w:i w:val="0"/>
          <w:sz w:val="28"/>
        </w:rPr>
        <w:t>erkinbojmamanazarov@gmail.com</w:t>
      </w:r>
    </w:p>
    <w:p>
      <w:pPr>
        <w:spacing w:line="360" w:lineRule="auto" w:before="0" w:after="120"/>
        <w:ind w:firstLine="0"/>
        <w:jc w:val="center"/>
      </w:pPr>
      <w:r>
        <w:rPr>
          <w:b/>
          <w:i w:val="0"/>
          <w:sz w:val="28"/>
        </w:rPr>
        <w:t xml:space="preserve">ДРУЖЕСКИЕ ВОКАТИВЫ В РУССКО-УЗБЕКСКОМ МЕЖКУЛЬТУРНОМ ОБЩЕНИИ: </w:t>
      </w:r>
      <w:r>
        <w:rPr>
          <w:b/>
          <w:i/>
          <w:sz w:val="28"/>
        </w:rPr>
        <w:t>АКА</w:t>
      </w:r>
      <w:r>
        <w:rPr>
          <w:b/>
          <w:i w:val="0"/>
          <w:sz w:val="28"/>
        </w:rPr>
        <w:t xml:space="preserve">, </w:t>
      </w:r>
      <w:r>
        <w:rPr>
          <w:b/>
          <w:i/>
          <w:sz w:val="28"/>
        </w:rPr>
        <w:t>ОПА</w:t>
      </w:r>
      <w:r>
        <w:rPr>
          <w:b/>
          <w:i w:val="0"/>
          <w:sz w:val="28"/>
        </w:rPr>
        <w:t xml:space="preserve"> И </w:t>
      </w:r>
      <w:r>
        <w:rPr>
          <w:b/>
          <w:i/>
          <w:sz w:val="28"/>
        </w:rPr>
        <w:t>БРАТ</w:t>
      </w:r>
    </w:p>
    <w:p>
      <w:pPr>
        <w:spacing w:line="360" w:lineRule="auto" w:before="0" w:after="240"/>
        <w:ind w:firstLine="0"/>
        <w:jc w:val="center"/>
      </w:pPr>
      <w:r>
        <w:rPr>
          <w:b w:val="0"/>
          <w:i/>
          <w:sz w:val="28"/>
        </w:rPr>
        <w:t xml:space="preserve">Научный руководитель: </w:t>
      </w:r>
      <w:r>
        <w:rPr>
          <w:b w:val="0"/>
          <w:i/>
          <w:sz w:val="28"/>
          <w:highlight w:val="yellow"/>
        </w:rPr>
        <w:t>ФИО, должность, учёная степень</w:t>
      </w:r>
    </w:p>
    <w:p>
      <w:pPr>
        <w:spacing w:line="240" w:lineRule="auto" w:before="0" w:after="0"/>
        <w:ind w:firstLine="0"/>
        <w:jc w:val="both"/>
      </w:pPr>
      <w:r>
        <w:rPr>
          <w:b/>
          <w:sz w:val="24"/>
        </w:rPr>
        <w:t xml:space="preserve">Аннотация: </w:t>
      </w:r>
      <w:r>
        <w:rPr>
          <w:b w:val="0"/>
          <w:i w:val="0"/>
          <w:sz w:val="24"/>
        </w:rPr>
        <w:t xml:space="preserve">Статья посвящена проблеме взаимодействия дружеских вокативов, восходящих к терминам родства, в русско-узбекском межкультурном общении. Материал – наблюдения автора за речью многонациональных студенческих групп и данные исследований тюркско-русского контакта; методы – сопоставительный, описательный, включённое наблюдение. Установлено, что узбекские </w:t>
      </w:r>
      <w:r>
        <w:rPr>
          <w:b w:val="0"/>
          <w:i/>
          <w:sz w:val="24"/>
        </w:rPr>
        <w:t>ака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опа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ука</w:t>
      </w:r>
      <w:r>
        <w:rPr>
          <w:b w:val="0"/>
          <w:i w:val="0"/>
          <w:sz w:val="24"/>
        </w:rPr>
        <w:t xml:space="preserve">, аффикс </w:t>
      </w:r>
      <w:r>
        <w:rPr>
          <w:b w:val="0"/>
          <w:i/>
          <w:sz w:val="24"/>
        </w:rPr>
        <w:t>-жон</w:t>
      </w:r>
      <w:r>
        <w:rPr>
          <w:b w:val="0"/>
          <w:i w:val="0"/>
          <w:sz w:val="24"/>
        </w:rPr>
        <w:t xml:space="preserve"> и русские </w:t>
      </w:r>
      <w:r>
        <w:rPr>
          <w:b w:val="0"/>
          <w:i/>
          <w:sz w:val="24"/>
        </w:rPr>
        <w:t>брат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братан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братишка</w:t>
      </w:r>
      <w:r>
        <w:rPr>
          <w:b w:val="0"/>
          <w:i w:val="0"/>
          <w:sz w:val="24"/>
        </w:rPr>
        <w:t xml:space="preserve"> основаны на общем переносе лексики родства за пределы семьи, что порождает транспозицию, встречные заимствования и гибриды. Обоснован лингводидактический потенциал темы в обучении русскому языку как иностранному.</w:t>
      </w:r>
    </w:p>
    <w:p>
      <w:pPr>
        <w:spacing w:line="240" w:lineRule="auto" w:before="120" w:after="240"/>
        <w:ind w:firstLine="0"/>
        <w:jc w:val="both"/>
      </w:pPr>
      <w:r>
        <w:rPr>
          <w:b/>
          <w:sz w:val="24"/>
        </w:rPr>
        <w:t xml:space="preserve">Ключевые слова: </w:t>
      </w:r>
      <w:r>
        <w:rPr>
          <w:b w:val="0"/>
          <w:i w:val="0"/>
          <w:sz w:val="24"/>
        </w:rPr>
        <w:t>вокатив; обращение; речевой этикет; термины родства; русский язык; узбекский язык; межкультурная коммуникация; русский язык как иностранный.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>Обращение открывает речевое взаимодействие и первым сообщает собеседнику, какие отношения ему предлагаются: официальные, нейтральные или дружеские. В многонациональной студенческой среде российских вузов выбор вокатива становится ежедневной практикой межкультурного общения. Актуальность темы определяется демографией высшей школы: с 2013 по 2022 г. число студентов из Узбекистана в России выросло в 4,7 раза и достигло 56 тыс. человек [Голомидова, 2025, с. 50], а русский язык сохраняет функции языка образования и межнационального общения в Центральной Азии [Данков, 2024, с. 202].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>Цель статьи – сопоставить дружеские вокативы русского и узбекского языков, описать их взаимодействие в живой коммуникации и оценить лингводидактический потенциал этой зоны. Материалом послужили наблюдения автора, носителя узбекского языка, за общением в межнациональных учебных группах и студенческом разговорном клубе, а также данные исследований тюркско-русского языкового контакта. Использованы сопоставительный и описательный методы, метод включённого наблюдения.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Теоретические основания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>Изучение взаимодействия языков в речи билингва восходит к работам У. Вайнрайха и Э. Хаугена [Резанова, Рябова, 2021, с. 168]. Интерференция в современной трактовке понимается как результат одновременного отрицательного воздействия и родного, и изучаемого языка [Джусупов, 2021]. Для нашей темы важны два положения. Во-первых, отрицательное влияние контактирующего языка предлагается называть интерференцией, положительное – транспозицией [Рогозная, Давыдова, 2024, с. 199]. Во-вторых, совпадение признаков двух языков даёт эффект фацилитации, облегчающей освоение материала [Джусупов, 2022, с. 321]. При этом чем больше структурных различий между языками, тем шире зона отрицательного переноса [Жанпеисова и др., 2025, с. 933–934]. Русский и узбекский языки типологически контрастны, поэтому работы о тюркско-русском контакте сосредоточены преимущественно на ошибках. Вокативная зона выглядит исключением: здесь обнаруживается глубокое сходство, создающее условия для транспозиции, а не интерференции. Его механизм – перенос терминов родства за пределы семьи, при котором лексика кровной близости начинает обозначать близость по выбору, то есть дружбу.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Узбекская и русская вокативные системы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 xml:space="preserve">В узбекской лингвокультуре термины родства </w:t>
      </w:r>
      <w:r>
        <w:rPr>
          <w:b w:val="0"/>
          <w:i/>
          <w:sz w:val="28"/>
        </w:rPr>
        <w:t>ака</w:t>
      </w:r>
      <w:r>
        <w:rPr>
          <w:b w:val="0"/>
          <w:i w:val="0"/>
          <w:sz w:val="28"/>
        </w:rPr>
        <w:t xml:space="preserve"> ‘старший брат’, </w:t>
      </w:r>
      <w:r>
        <w:rPr>
          <w:b w:val="0"/>
          <w:i/>
          <w:sz w:val="28"/>
        </w:rPr>
        <w:t>опа</w:t>
      </w:r>
      <w:r>
        <w:rPr>
          <w:b w:val="0"/>
          <w:i w:val="0"/>
          <w:sz w:val="28"/>
        </w:rPr>
        <w:t xml:space="preserve"> ‘старшая сестра’, </w:t>
      </w:r>
      <w:r>
        <w:rPr>
          <w:b w:val="0"/>
          <w:i/>
          <w:sz w:val="28"/>
        </w:rPr>
        <w:t>ука</w:t>
      </w:r>
      <w:r>
        <w:rPr>
          <w:b w:val="0"/>
          <w:i w:val="0"/>
          <w:sz w:val="28"/>
        </w:rPr>
        <w:t xml:space="preserve"> ‘младший брат’ давно вышли за пределы семьи и стали универсальными вокативами. Они присоединяются к имени (</w:t>
      </w:r>
      <w:r>
        <w:rPr>
          <w:b w:val="0"/>
          <w:i/>
          <w:sz w:val="28"/>
        </w:rPr>
        <w:t>Карим-ака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Нодира-опа</w:t>
      </w:r>
      <w:r>
        <w:rPr>
          <w:b w:val="0"/>
          <w:i w:val="0"/>
          <w:sz w:val="28"/>
        </w:rPr>
        <w:t xml:space="preserve">) и адресуются неродственникам, в том числе незнакомым: продавцу, попутчику, старшему коллеге, соседу по махалле. Выбор термина регулируется возрастной иерархией: старшему говорят </w:t>
      </w:r>
      <w:r>
        <w:rPr>
          <w:b w:val="0"/>
          <w:i/>
          <w:sz w:val="28"/>
        </w:rPr>
        <w:t>ака</w:t>
      </w:r>
      <w:r>
        <w:rPr>
          <w:b w:val="0"/>
          <w:i w:val="0"/>
          <w:sz w:val="28"/>
        </w:rPr>
        <w:t xml:space="preserve"> или </w:t>
      </w:r>
      <w:r>
        <w:rPr>
          <w:b w:val="0"/>
          <w:i/>
          <w:sz w:val="28"/>
        </w:rPr>
        <w:t>опа</w:t>
      </w:r>
      <w:r>
        <w:rPr>
          <w:b w:val="0"/>
          <w:i w:val="0"/>
          <w:sz w:val="28"/>
        </w:rPr>
        <w:t xml:space="preserve">, младшему – </w:t>
      </w:r>
      <w:r>
        <w:rPr>
          <w:b w:val="0"/>
          <w:i/>
          <w:sz w:val="28"/>
        </w:rPr>
        <w:t>ука</w:t>
      </w:r>
      <w:r>
        <w:rPr>
          <w:b w:val="0"/>
          <w:i w:val="0"/>
          <w:sz w:val="28"/>
        </w:rPr>
        <w:t xml:space="preserve"> или </w:t>
      </w:r>
      <w:r>
        <w:rPr>
          <w:b w:val="0"/>
          <w:i/>
          <w:sz w:val="28"/>
        </w:rPr>
        <w:t>сингил</w:t>
      </w:r>
      <w:r>
        <w:rPr>
          <w:b w:val="0"/>
          <w:i w:val="0"/>
          <w:sz w:val="28"/>
        </w:rPr>
        <w:t xml:space="preserve">. Ласкательный аффикс </w:t>
      </w:r>
      <w:r>
        <w:rPr>
          <w:b w:val="0"/>
          <w:i/>
          <w:sz w:val="28"/>
        </w:rPr>
        <w:t>-жон</w:t>
      </w:r>
      <w:r>
        <w:rPr>
          <w:b w:val="0"/>
          <w:i w:val="0"/>
          <w:sz w:val="28"/>
        </w:rPr>
        <w:t xml:space="preserve"> (букв. ‘душа’: </w:t>
      </w:r>
      <w:r>
        <w:rPr>
          <w:b w:val="0"/>
          <w:i/>
          <w:sz w:val="28"/>
        </w:rPr>
        <w:t>Акмал-жон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опажон</w:t>
      </w:r>
      <w:r>
        <w:rPr>
          <w:b w:val="0"/>
          <w:i w:val="0"/>
          <w:sz w:val="28"/>
        </w:rPr>
        <w:t>) добавляет обращению теплоты, не отменяя уважения. Общество в таком речевом зеркале предстаёт большой семьёй, а обращение заранее приписывает незнакомцу статус своего.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 xml:space="preserve">Русская речевая традиция располагает параллельным механизмом. Обращения </w:t>
      </w:r>
      <w:r>
        <w:rPr>
          <w:b w:val="0"/>
          <w:i/>
          <w:sz w:val="28"/>
        </w:rPr>
        <w:t>брат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братцы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браток</w:t>
      </w:r>
      <w:r>
        <w:rPr>
          <w:b w:val="0"/>
          <w:i w:val="0"/>
          <w:sz w:val="28"/>
        </w:rPr>
        <w:t xml:space="preserve"> издавна обслуживали неродственную близость – артельную, солдатскую, соседскую. Советская формула </w:t>
      </w:r>
      <w:r>
        <w:rPr>
          <w:b w:val="0"/>
          <w:i/>
          <w:sz w:val="28"/>
        </w:rPr>
        <w:t>братские народы</w:t>
      </w:r>
      <w:r>
        <w:rPr>
          <w:b w:val="0"/>
          <w:i w:val="0"/>
          <w:sz w:val="28"/>
        </w:rPr>
        <w:t xml:space="preserve"> подняла эту метафору на уровень государственной риторики. Молодёжная речь продолжает ту же линию: </w:t>
      </w:r>
      <w:r>
        <w:rPr>
          <w:b w:val="0"/>
          <w:i/>
          <w:sz w:val="28"/>
        </w:rPr>
        <w:t>брат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братан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братишка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сестрёнка</w:t>
      </w:r>
      <w:r>
        <w:rPr>
          <w:b w:val="0"/>
          <w:i w:val="0"/>
          <w:sz w:val="28"/>
        </w:rPr>
        <w:t xml:space="preserve"> выступают знаками дружеского принятия, а не указанием на кровную связь. Существенно, что в русском языке нет нейтрального универсального обращения к незнакомому взрослому: формулы </w:t>
      </w:r>
      <w:r>
        <w:rPr>
          <w:b w:val="0"/>
          <w:i/>
          <w:sz w:val="28"/>
        </w:rPr>
        <w:t>молодой человек</w:t>
      </w:r>
      <w:r>
        <w:rPr>
          <w:b w:val="0"/>
          <w:i w:val="0"/>
          <w:sz w:val="28"/>
        </w:rPr>
        <w:t xml:space="preserve"> и </w:t>
      </w:r>
      <w:r>
        <w:rPr>
          <w:b w:val="0"/>
          <w:i/>
          <w:sz w:val="28"/>
        </w:rPr>
        <w:t>девушка</w:t>
      </w:r>
      <w:r>
        <w:rPr>
          <w:b w:val="0"/>
          <w:i w:val="0"/>
          <w:sz w:val="28"/>
        </w:rPr>
        <w:t xml:space="preserve"> ограничены возрастом адресата, а нулевые стратегии (</w:t>
      </w:r>
      <w:r>
        <w:rPr>
          <w:b w:val="0"/>
          <w:i/>
          <w:sz w:val="28"/>
        </w:rPr>
        <w:t>извините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простите</w:t>
      </w:r>
      <w:r>
        <w:rPr>
          <w:b w:val="0"/>
          <w:i w:val="0"/>
          <w:sz w:val="28"/>
        </w:rPr>
        <w:t xml:space="preserve">) лишь обходят проблему. Вокатив </w:t>
      </w:r>
      <w:r>
        <w:rPr>
          <w:b w:val="0"/>
          <w:i/>
          <w:sz w:val="28"/>
        </w:rPr>
        <w:t>брат</w:t>
      </w:r>
      <w:r>
        <w:rPr>
          <w:b w:val="0"/>
          <w:i w:val="0"/>
          <w:sz w:val="28"/>
        </w:rPr>
        <w:t xml:space="preserve"> отчасти заполняет эту лакуну в неформальном регистре, чем и объясняется его частотность в студенческой среде.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Контактная зона: перенос, транспозиция, гибриды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 xml:space="preserve">В межкультурном общении две вокативные системы встречаются и усиливают друг друга. Узбекоязычные студенты легко осваивают русское </w:t>
      </w:r>
      <w:r>
        <w:rPr>
          <w:b w:val="0"/>
          <w:i/>
          <w:sz w:val="28"/>
        </w:rPr>
        <w:t>брат</w:t>
      </w:r>
      <w:r>
        <w:rPr>
          <w:b w:val="0"/>
          <w:i w:val="0"/>
          <w:sz w:val="28"/>
        </w:rPr>
        <w:t xml:space="preserve">, узнавая в нём родную модель: это транспозиция в чистом виде. Идёт и встречный процесс: формы </w:t>
      </w:r>
      <w:r>
        <w:rPr>
          <w:b w:val="0"/>
          <w:i/>
          <w:sz w:val="28"/>
        </w:rPr>
        <w:t>Санжар-ака</w:t>
      </w:r>
      <w:r>
        <w:rPr>
          <w:b w:val="0"/>
          <w:i w:val="0"/>
          <w:sz w:val="28"/>
        </w:rPr>
        <w:t xml:space="preserve">, </w:t>
      </w:r>
      <w:r>
        <w:rPr>
          <w:b w:val="0"/>
          <w:i/>
          <w:sz w:val="28"/>
        </w:rPr>
        <w:t>Дилноза-опа</w:t>
      </w:r>
      <w:r>
        <w:rPr>
          <w:b w:val="0"/>
          <w:i w:val="0"/>
          <w:sz w:val="28"/>
        </w:rPr>
        <w:t xml:space="preserve"> звучат в российских университетах не только в узбекской аудитории. На тюркско-русском материале зафиксирован и следующий шаг – гибридное словообразование: казахские термины родства принимают русские диминутивные суффиксы (</w:t>
      </w:r>
      <w:r>
        <w:rPr>
          <w:b w:val="0"/>
          <w:i/>
          <w:sz w:val="28"/>
        </w:rPr>
        <w:t>аташка</w:t>
      </w:r>
      <w:r>
        <w:rPr>
          <w:b w:val="0"/>
          <w:i w:val="0"/>
          <w:sz w:val="28"/>
        </w:rPr>
        <w:t xml:space="preserve"> от </w:t>
      </w:r>
      <w:r>
        <w:rPr>
          <w:b w:val="0"/>
          <w:i/>
          <w:sz w:val="28"/>
        </w:rPr>
        <w:t>ата</w:t>
      </w:r>
      <w:r>
        <w:rPr>
          <w:b w:val="0"/>
          <w:i w:val="0"/>
          <w:sz w:val="28"/>
        </w:rPr>
        <w:t xml:space="preserve"> ‘дед’) [Арынбаева и др., 2023, с. 351]. По нашим наблюдениям, аналогичные образования возникают и в узбекско-русской студенческой среде. Гибрид становится предельным выражением сближения систем: каждая отдаёт обращению свою часть – корень или суффикс.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 xml:space="preserve">Собственно интерференционных сбоев вокативная зона почти не даёт. Единичные случаи прагматического дискомфорта связаны с переносом родной модели в официальные ситуации, где русский этикет требует имени и отчества. Сопоставление на занятии снимает эту трудность быстрее прямого запрета: учащийся, увидевший в </w:t>
      </w:r>
      <w:r>
        <w:rPr>
          <w:b w:val="0"/>
          <w:i/>
          <w:sz w:val="28"/>
        </w:rPr>
        <w:t>Ирина Петровна</w:t>
      </w:r>
      <w:r>
        <w:rPr>
          <w:b w:val="0"/>
          <w:i w:val="0"/>
          <w:sz w:val="28"/>
        </w:rPr>
        <w:t xml:space="preserve"> функциональный аналог уважительного </w:t>
      </w:r>
      <w:r>
        <w:rPr>
          <w:b w:val="0"/>
          <w:i/>
          <w:sz w:val="28"/>
        </w:rPr>
        <w:t>опа</w:t>
      </w:r>
      <w:r>
        <w:rPr>
          <w:b w:val="0"/>
          <w:i w:val="0"/>
          <w:sz w:val="28"/>
        </w:rPr>
        <w:t>, осваивает трёхчленную модель как знакомую вежливость в новой форме.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Интеграционный и лингводидактический потенциал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>Оба языка осмысляют дружбу через модель «друг как брат», и дружеский вокатив работает как микроинструмент социальной интеграции: одно слово переводит собеседника из чужих в свои. Для иностранного студента это имеет практическое значение: успешность адаптации определяется не только учебными результатами, но и качеством повседневных социальных связей [Чернышева, 2024, с. 92], а установки на дальнейшую жизнь и карьеру в России связаны с ощущением принадлежности к принимающему сообществу [Ростовская, Ситковский, 2025, с. 1282].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 xml:space="preserve">Отсюда следуют выводы для преподавания русского языка как иностранного. Во-первых, вокативную зону целесообразно вводить через сопоставление с родным языком учащихся: опора на транспозицию и фацилитацию превращает тему обращений из зоны риска в зону уверенности [ср.: Джусупов, 2022, с. 321]. Во-вторых, типолого-сопоставительное описание позволяет прогнозировать немногочисленные трудности этой зоны, прежде всего перенос неформальной модели в официальный регистр, и снимать их профилактически [Рогозная, Давыдова, 2024, с. 203]. В-третьих, материал органично встраивается в этноориентированную модель обучения, учитывающую лингвокультурный опыт учащихся [Мухаммад и др., 2023, с. 494; Арынбаева и др., 2023, с. 344]: для узбекоязычной аудитории урок о русских обращениях естественно начинать с </w:t>
      </w:r>
      <w:r>
        <w:rPr>
          <w:b w:val="0"/>
          <w:i/>
          <w:sz w:val="28"/>
        </w:rPr>
        <w:t>ака</w:t>
      </w:r>
      <w:r>
        <w:rPr>
          <w:b w:val="0"/>
          <w:i w:val="0"/>
          <w:sz w:val="28"/>
        </w:rPr>
        <w:t xml:space="preserve"> и </w:t>
      </w:r>
      <w:r>
        <w:rPr>
          <w:b w:val="0"/>
          <w:i/>
          <w:sz w:val="28"/>
        </w:rPr>
        <w:t>опа</w:t>
      </w:r>
      <w:r>
        <w:rPr>
          <w:b w:val="0"/>
          <w:i w:val="0"/>
          <w:sz w:val="28"/>
        </w:rPr>
        <w:t>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b w:val="0"/>
          <w:i w:val="0"/>
          <w:sz w:val="28"/>
        </w:rPr>
        <w:t>Дружеские вокативы русского и узбекского языков демонстрируют структурное и ценностное схождение: обе лингвокультуры строят обращение к другу и доброжелательному незнакомцу на переносе терминов родства за пределы семьи. В условиях образовательной миграции это схождение становится механизмом интеграции, порождающим транспозицию, встречные заимствования и гибридные формы. Для лингводидактики вокативная зона – редкий случай, когда контакт типологически далёких языков опирается не на преодоление различий, а на узнавание сходства, и потому заслуживает места в этноориентированном курсе русского языка как иностранного.</w:t>
      </w:r>
    </w:p>
    <w:p>
      <w:pPr>
        <w:keepNext/>
        <w:spacing w:line="360" w:lineRule="auto" w:before="120" w:after="0"/>
        <w:ind w:firstLine="0"/>
        <w:jc w:val="center"/>
      </w:pPr>
      <w:r>
        <w:rPr>
          <w:b/>
          <w:i w:val="0"/>
          <w:sz w:val="28"/>
        </w:rPr>
        <w:t>Литература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1.</w:t>
        <w:tab/>
        <w:t>Арынбаева Р. А., Маханова Ж. К., Дмитрюк Н. В. Формирование лингвокультурологической компетенции казахстанских учащихся в обучении русскому языку как неродному // Русистика. – 2023. – Т. 21, № 3. – С. 341–355.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2.</w:t>
        <w:tab/>
        <w:t xml:space="preserve">Голомидова П. С. Особенности международной студенческой миграции из Республики Узбекистан в Российскую Федерацию (на примере Северного (Арктического) федерального университета, 2009–2024) // Вестник Российского университета дружбы народов. Серия: Социология. – 2025. – Т. 25, № 1. – </w:t>
      </w:r>
      <w:r>
        <w:rPr>
          <w:b w:val="0"/>
          <w:i w:val="0"/>
          <w:sz w:val="24"/>
          <w:highlight w:val="yellow"/>
        </w:rPr>
        <w:t>С. __–__</w:t>
      </w:r>
      <w:r>
        <w:rPr>
          <w:b w:val="0"/>
          <w:i w:val="0"/>
          <w:sz w:val="24"/>
        </w:rPr>
        <w:t>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3.</w:t>
        <w:tab/>
        <w:t>Данков А. Г. Русский язык в образовательном пространстве Центральной Азии: возможности для экспорта российского образования // Вестник Томского государственного университета. Философия. Социология. Политология. – 2024. – № 82. – С. 199–210.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4.</w:t>
        <w:tab/>
        <w:t>Джусупов М. Речевая интерференция как результат двуединого отрицательного воздействия // Вестник Российского университета дружбы народов. Серия: Теория языка. Семиотика. Семантика. – 2021. – Т. 12, № 1. – С. 23–40.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5.</w:t>
        <w:tab/>
        <w:t>Джусупов М. Переход с кириллицы на латиницу и проблема лингвографической интерференции в русской речи тюркофона // Русистика. – 2022. – Т. 20, № 3. – С. 312–329.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6.</w:t>
        <w:tab/>
        <w:t>Жанпеисова Н. М., Кузембаева Г. А., Майдангалиева Ж. А. Лингвистические основы и пути преодоления интерференции в русской речи казахов и казахской речи русских в условиях массового билингвизма // Вестник Российского университета дружбы народов. Серия: Теория языка. Семиотика. Семантика. – 2025. – Т. 16, № 3. – С. 932–944.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7.</w:t>
        <w:tab/>
        <w:t>Мухаммад Л. П., Ипполитова Л. В., Чжан Ш. Конструирование современной эффективной модели обучения иностранцев русскому языку на принципах антропологической лингводидактики // Русистика. – 2023. – Т. 21, № 4. – С. 488–502.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8.</w:t>
        <w:tab/>
        <w:t>Резанова З. И., Рябова Ю. А. Категории рода и числа в речи тюркско-русских билингвов: интерферентное влияние или внутриязыковые тенденции? // Русин. – 2021. – № 66. – С. 166–182.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9.</w:t>
        <w:tab/>
        <w:t>Рогозная Н. Н., Давыдова М. А. К вопросу о проблеме интерязыка, интерференции и билингвальных моделей: теоретические и прикладные аспекты // Вестник Томского государственного университета. – 2024. – № 507. – С. 197–205.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10.</w:t>
        <w:tab/>
        <w:t>Ростовская Т. К., Ситковский А. М. Установки иностранных студентов на дальнейшую жизнь и карьеру в России // Проблемы социальной гигиены, здравоохранения и истории медицины. – 2025. – Т. 33, № 5. – С. 1280–1285.</w:t>
      </w:r>
    </w:p>
    <w:p>
      <w:pPr>
        <w:tabs>
          <w:tab w:pos="425" w:val="left"/>
        </w:tabs>
        <w:spacing w:line="240" w:lineRule="auto" w:before="0" w:after="0"/>
        <w:ind w:left="425" w:hanging="425"/>
        <w:jc w:val="both"/>
      </w:pPr>
      <w:r>
        <w:rPr>
          <w:b w:val="0"/>
          <w:i w:val="0"/>
          <w:sz w:val="24"/>
        </w:rPr>
        <w:t>11.</w:t>
        <w:tab/>
        <w:t>Чернышева Т. Л. Адаптация иностранных студентов в рамках реализации третьей миссии университета // Перспективы науки и образования. – 2024. – № 3 (69). – С. 90–112.</w:t>
      </w:r>
    </w:p>
    <w:p>
      <w:pPr>
        <w:spacing w:line="360" w:lineRule="auto" w:before="480" w:after="0"/>
        <w:ind w:firstLine="0"/>
        <w:jc w:val="right"/>
      </w:pPr>
      <w:r>
        <w:rPr>
          <w:b/>
          <w:i w:val="0"/>
          <w:sz w:val="28"/>
        </w:rPr>
        <w:t>Mamanazarov E. B.</w:t>
      </w:r>
    </w:p>
    <w:p>
      <w:pPr>
        <w:spacing w:line="360" w:lineRule="auto" w:before="0" w:after="240"/>
        <w:ind w:firstLine="0"/>
        <w:jc w:val="right"/>
      </w:pPr>
      <w:r>
        <w:rPr>
          <w:b w:val="0"/>
          <w:i w:val="0"/>
          <w:sz w:val="28"/>
        </w:rPr>
        <w:t>Herzen State Pedagogical University of Russia, Russia</w:t>
      </w:r>
    </w:p>
    <w:p>
      <w:pPr>
        <w:spacing w:line="360" w:lineRule="auto" w:before="0" w:after="120"/>
        <w:ind w:firstLine="0"/>
        <w:jc w:val="center"/>
      </w:pPr>
      <w:r>
        <w:rPr>
          <w:b/>
          <w:i w:val="0"/>
          <w:sz w:val="28"/>
        </w:rPr>
        <w:t xml:space="preserve">FRIENDLY VOCATIVES IN RUSSIAN-UZBEK INTERCULTURAL COMMUNICATION: </w:t>
      </w:r>
      <w:r>
        <w:rPr>
          <w:b/>
          <w:i/>
          <w:sz w:val="28"/>
        </w:rPr>
        <w:t>AKA</w:t>
      </w:r>
      <w:r>
        <w:rPr>
          <w:b/>
          <w:i w:val="0"/>
          <w:sz w:val="28"/>
        </w:rPr>
        <w:t xml:space="preserve">, </w:t>
      </w:r>
      <w:r>
        <w:rPr>
          <w:b/>
          <w:i/>
          <w:sz w:val="28"/>
        </w:rPr>
        <w:t>OPA</w:t>
      </w:r>
      <w:r>
        <w:rPr>
          <w:b/>
          <w:i w:val="0"/>
          <w:sz w:val="28"/>
        </w:rPr>
        <w:t xml:space="preserve"> AND </w:t>
      </w:r>
      <w:r>
        <w:rPr>
          <w:b/>
          <w:i/>
          <w:sz w:val="28"/>
        </w:rPr>
        <w:t>BRAT</w:t>
      </w:r>
    </w:p>
    <w:p>
      <w:pPr>
        <w:spacing w:line="360" w:lineRule="auto" w:before="0" w:after="240"/>
        <w:ind w:firstLine="0"/>
        <w:jc w:val="center"/>
      </w:pPr>
      <w:r>
        <w:rPr>
          <w:b w:val="0"/>
          <w:i/>
          <w:sz w:val="28"/>
        </w:rPr>
        <w:t xml:space="preserve">Scientific supervisor: </w:t>
      </w:r>
      <w:r>
        <w:rPr>
          <w:b w:val="0"/>
          <w:i/>
          <w:sz w:val="28"/>
          <w:highlight w:val="yellow"/>
        </w:rPr>
        <w:t>full name, position, academic degree</w:t>
      </w:r>
    </w:p>
    <w:p>
      <w:pPr>
        <w:spacing w:line="240" w:lineRule="auto" w:before="0" w:after="0"/>
        <w:ind w:firstLine="0"/>
        <w:jc w:val="both"/>
      </w:pPr>
      <w:r>
        <w:rPr>
          <w:b/>
          <w:sz w:val="24"/>
        </w:rPr>
        <w:t xml:space="preserve">Abstract: </w:t>
      </w:r>
      <w:r>
        <w:rPr>
          <w:b w:val="0"/>
          <w:i w:val="0"/>
          <w:sz w:val="24"/>
        </w:rPr>
        <w:t xml:space="preserve">The article addresses the problem of interaction between friendly vocatives derived from kinship terms in Russian-Uzbek intercultural communication. The material is the author’s observations of speech in multiethnic student groups and data from studies of Turkic-Russian contact; the methods are comparative, descriptive and participant observation. It is established that the Uzbek </w:t>
      </w:r>
      <w:r>
        <w:rPr>
          <w:b w:val="0"/>
          <w:i/>
          <w:sz w:val="24"/>
        </w:rPr>
        <w:t>aka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opa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uka</w:t>
      </w:r>
      <w:r>
        <w:rPr>
          <w:b w:val="0"/>
          <w:i w:val="0"/>
          <w:sz w:val="24"/>
        </w:rPr>
        <w:t xml:space="preserve">, the affix </w:t>
      </w:r>
      <w:r>
        <w:rPr>
          <w:b w:val="0"/>
          <w:i/>
          <w:sz w:val="24"/>
        </w:rPr>
        <w:t>-jon</w:t>
      </w:r>
      <w:r>
        <w:rPr>
          <w:b w:val="0"/>
          <w:i w:val="0"/>
          <w:sz w:val="24"/>
        </w:rPr>
        <w:t xml:space="preserve"> and the Russian </w:t>
      </w:r>
      <w:r>
        <w:rPr>
          <w:b w:val="0"/>
          <w:i/>
          <w:sz w:val="24"/>
        </w:rPr>
        <w:t>brat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bratan</w:t>
      </w:r>
      <w:r>
        <w:rPr>
          <w:b w:val="0"/>
          <w:i w:val="0"/>
          <w:sz w:val="24"/>
        </w:rPr>
        <w:t xml:space="preserve">, </w:t>
      </w:r>
      <w:r>
        <w:rPr>
          <w:b w:val="0"/>
          <w:i/>
          <w:sz w:val="24"/>
        </w:rPr>
        <w:t>bratishka</w:t>
      </w:r>
      <w:r>
        <w:rPr>
          <w:b w:val="0"/>
          <w:i w:val="0"/>
          <w:sz w:val="24"/>
        </w:rPr>
        <w:t xml:space="preserve"> rest on a common extension of kinship vocabulary beyond the family, which gives rise to transposition, mutual borrowing and hybrids. The linguodidactic potential of the topic in teaching Russian as a foreign language is substantiated.</w:t>
      </w:r>
    </w:p>
    <w:p>
      <w:pPr>
        <w:spacing w:line="240" w:lineRule="auto" w:before="120" w:after="0"/>
        <w:ind w:firstLine="0"/>
        <w:jc w:val="both"/>
      </w:pPr>
      <w:r>
        <w:rPr>
          <w:b/>
          <w:sz w:val="24"/>
        </w:rPr>
        <w:t xml:space="preserve">Key words: </w:t>
      </w:r>
      <w:r>
        <w:rPr>
          <w:b w:val="0"/>
          <w:i w:val="0"/>
          <w:sz w:val="24"/>
        </w:rPr>
        <w:t>vocative; form of address; speech etiquette; kinship terms; Russian language; Uzbek language; intercultural communication; Russian as a foreign language.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Дружеские вокативы в русско-узбекском межкультурном общении: ака, опа и брат</dc:title>
  <dc:subject/>
  <dc:creator>Маманазаров Э. Б.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